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9CCA" w14:textId="5B7A1177" w:rsidR="007816ED" w:rsidRDefault="00F80A62" w:rsidP="007816ED">
      <w:pPr>
        <w:ind w:left="2292" w:hanging="2292"/>
      </w:pPr>
      <w:bookmarkStart w:id="0" w:name="_Toc209500354"/>
      <w:bookmarkStart w:id="1" w:name="_Toc219275270"/>
      <w:bookmarkStart w:id="2" w:name="_Toc219275340"/>
      <w:bookmarkStart w:id="3" w:name="_Toc219518985"/>
      <w:r>
        <w:t xml:space="preserve">SCORECARD </w:t>
      </w:r>
      <w:r>
        <w:tab/>
        <w:t>Wor</w:t>
      </w:r>
      <w:r w:rsidR="007816ED">
        <w:t>ld</w:t>
      </w:r>
      <w:r w:rsidR="00461DAD">
        <w:t xml:space="preserve"> B</w:t>
      </w:r>
      <w:r w:rsidR="007816ED">
        <w:t>ank</w:t>
      </w:r>
      <w:r w:rsidR="004E4757">
        <w:t xml:space="preserve"> (WB)</w:t>
      </w:r>
    </w:p>
    <w:p w14:paraId="182AB678" w14:textId="77777777" w:rsidR="007816ED" w:rsidRDefault="007816ED" w:rsidP="007816ED">
      <w:pPr>
        <w:ind w:left="2292" w:hanging="2292"/>
      </w:pPr>
    </w:p>
    <w:p w14:paraId="39A6DF34" w14:textId="6DA4B310" w:rsidR="007816ED" w:rsidRDefault="009C7B76" w:rsidP="007816ED">
      <w:pPr>
        <w:ind w:left="2292" w:hanging="2292"/>
      </w:pPr>
      <w:r>
        <w:fldChar w:fldCharType="begin"/>
      </w:r>
      <w:r>
        <w:instrText xml:space="preserve"> DOCPROPERTY  L_CONTACT  \* MERGEFORMAT </w:instrText>
      </w:r>
      <w:r>
        <w:fldChar w:fldCharType="separate"/>
      </w:r>
      <w:r w:rsidR="007B72E3">
        <w:t>Opgesteld door</w:t>
      </w:r>
      <w:r>
        <w:fldChar w:fldCharType="end"/>
      </w:r>
      <w:r w:rsidR="007816ED" w:rsidRPr="00785F18">
        <w:tab/>
      </w:r>
      <w:r w:rsidR="007816ED">
        <w:t>Directie Multilaterale Instellingen en Mensenrechten</w:t>
      </w:r>
    </w:p>
    <w:p w14:paraId="51CD9DEA" w14:textId="2AF6344D" w:rsidR="007816ED" w:rsidRPr="00785F18" w:rsidRDefault="007816ED" w:rsidP="007816ED">
      <w:pPr>
        <w:ind w:left="2292" w:hanging="2292"/>
      </w:pPr>
      <w:r w:rsidRPr="00785F18">
        <w:br/>
      </w:r>
    </w:p>
    <w:tbl>
      <w:tblPr>
        <w:tblW w:w="0" w:type="auto"/>
        <w:tblLook w:val="01E0" w:firstRow="1" w:lastRow="1" w:firstColumn="1" w:lastColumn="1" w:noHBand="0" w:noVBand="0"/>
      </w:tblPr>
      <w:tblGrid>
        <w:gridCol w:w="2247"/>
        <w:gridCol w:w="5479"/>
      </w:tblGrid>
      <w:tr w:rsidR="007816ED" w:rsidRPr="00785F18" w14:paraId="0FB35463" w14:textId="77777777" w:rsidTr="00BC3A3B">
        <w:tc>
          <w:tcPr>
            <w:tcW w:w="2247" w:type="dxa"/>
            <w:shd w:val="clear" w:color="auto" w:fill="auto"/>
          </w:tcPr>
          <w:p w14:paraId="429F1E05" w14:textId="5C4BA507" w:rsidR="007816ED" w:rsidRPr="00785F18" w:rsidRDefault="00F07CD5" w:rsidP="00BC3A3B">
            <w:r>
              <w:fldChar w:fldCharType="begin"/>
            </w:r>
            <w:r w:rsidR="00414D6F">
              <w:instrText xml:space="preserve"> DOCPROPERTY  L_AUTHOR  \* MERGEFORMAT </w:instrText>
            </w:r>
            <w:r>
              <w:fldChar w:fldCharType="separate"/>
            </w:r>
            <w:r w:rsidR="00BC3A3B">
              <w:t>Redacteur</w:t>
            </w:r>
            <w:r w:rsidR="007B72E3">
              <w:t>:</w:t>
            </w:r>
            <w:r>
              <w:fldChar w:fldCharType="end"/>
            </w:r>
          </w:p>
        </w:tc>
        <w:tc>
          <w:tcPr>
            <w:tcW w:w="5479" w:type="dxa"/>
            <w:shd w:val="clear" w:color="auto" w:fill="auto"/>
          </w:tcPr>
          <w:p w14:paraId="6D4F8FB0" w14:textId="77777777" w:rsidR="007816ED" w:rsidRDefault="007816ED" w:rsidP="007816ED">
            <w:r>
              <w:t>Isabelle van Tol</w:t>
            </w:r>
          </w:p>
          <w:p w14:paraId="20484608" w14:textId="4987CA43" w:rsidR="007816ED" w:rsidRPr="00785F18" w:rsidRDefault="00887CD1" w:rsidP="007816ED">
            <w:r>
              <w:t>Afgestemd met</w:t>
            </w:r>
            <w:r w:rsidR="007816ED">
              <w:t xml:space="preserve"> het Ministerie van Financiën, </w:t>
            </w:r>
            <w:proofErr w:type="spellStart"/>
            <w:r w:rsidR="007816ED">
              <w:t>Kiesgroepkantoor</w:t>
            </w:r>
            <w:proofErr w:type="spellEnd"/>
            <w:r w:rsidR="007816ED">
              <w:t xml:space="preserve"> Wereldb</w:t>
            </w:r>
            <w:r w:rsidR="00904570">
              <w:t>ank, IGG, DDE, DSO, TFGV</w:t>
            </w:r>
          </w:p>
        </w:tc>
      </w:tr>
    </w:tbl>
    <w:p w14:paraId="6DB90545" w14:textId="77777777" w:rsidR="007816ED" w:rsidRDefault="007816ED" w:rsidP="007816ED"/>
    <w:p w14:paraId="6E0C27D1" w14:textId="77777777" w:rsidR="007816ED" w:rsidRDefault="007816ED" w:rsidP="007816ED"/>
    <w:p w14:paraId="63607196" w14:textId="77777777" w:rsidR="007816ED" w:rsidRDefault="007816ED" w:rsidP="007816ED"/>
    <w:p w14:paraId="05F280A8" w14:textId="77777777" w:rsidR="007816ED" w:rsidRDefault="007816ED" w:rsidP="007816ED">
      <w:pPr>
        <w:spacing w:line="240" w:lineRule="auto"/>
      </w:pPr>
    </w:p>
    <w:p w14:paraId="433E557E" w14:textId="77777777" w:rsidR="007816ED" w:rsidRDefault="007816ED" w:rsidP="007816ED">
      <w:pPr>
        <w:spacing w:line="240" w:lineRule="auto"/>
      </w:pPr>
    </w:p>
    <w:p w14:paraId="49629FE9" w14:textId="77777777" w:rsidR="007816ED" w:rsidRDefault="007816ED" w:rsidP="007816ED">
      <w:pPr>
        <w:spacing w:line="240" w:lineRule="auto"/>
        <w:sectPr w:rsidR="007816ED" w:rsidSect="007816ED">
          <w:headerReference w:type="even" r:id="rId11"/>
          <w:headerReference w:type="default" r:id="rId12"/>
          <w:footerReference w:type="even" r:id="rId13"/>
          <w:footerReference w:type="default" r:id="rId14"/>
          <w:headerReference w:type="first" r:id="rId15"/>
          <w:footerReference w:type="first" r:id="rId16"/>
          <w:pgSz w:w="11906" w:h="16838" w:code="9"/>
          <w:pgMar w:top="2520" w:right="960" w:bottom="1080" w:left="3220" w:header="200" w:footer="660" w:gutter="0"/>
          <w:cols w:space="708"/>
          <w:titlePg/>
          <w:docGrid w:linePitch="360"/>
        </w:sectPr>
      </w:pPr>
    </w:p>
    <w:bookmarkEnd w:id="0"/>
    <w:bookmarkEnd w:id="1"/>
    <w:bookmarkEnd w:id="2"/>
    <w:bookmarkEnd w:id="3"/>
    <w:p w14:paraId="679D7F04" w14:textId="77777777" w:rsidR="007816ED" w:rsidRDefault="007816ED" w:rsidP="007816ED">
      <w:pPr>
        <w:pStyle w:val="Kop-Inhoudsopgave"/>
      </w:pPr>
    </w:p>
    <w:p w14:paraId="201EA056" w14:textId="77777777" w:rsidR="007816ED" w:rsidRDefault="007816ED" w:rsidP="007816ED">
      <w:pPr>
        <w:pStyle w:val="Kop-Inhoudsopgave"/>
      </w:pPr>
    </w:p>
    <w:p w14:paraId="51F9BB96" w14:textId="65A8F1D6" w:rsidR="007816ED" w:rsidRDefault="007816ED" w:rsidP="007816ED">
      <w:pPr>
        <w:pStyle w:val="Kop-Inhoudsopgave"/>
      </w:pPr>
      <w:r>
        <w:br w:type="page"/>
      </w:r>
      <w:r w:rsidR="009C7B76">
        <w:lastRenderedPageBreak/>
        <w:fldChar w:fldCharType="begin"/>
      </w:r>
      <w:r w:rsidR="009C7B76">
        <w:instrText xml:space="preserve"> DOCPROPERTY  L_TOC  \* MERGEFORMAT </w:instrText>
      </w:r>
      <w:r w:rsidR="009C7B76">
        <w:fldChar w:fldCharType="separate"/>
      </w:r>
      <w:bookmarkStart w:id="8" w:name="_Toc287446465"/>
      <w:bookmarkStart w:id="9" w:name="_Toc287454445"/>
      <w:bookmarkStart w:id="10" w:name="_Toc473812715"/>
      <w:bookmarkStart w:id="11" w:name="_Toc484612337"/>
      <w:bookmarkStart w:id="12" w:name="_Toc491439902"/>
      <w:r w:rsidR="007B72E3">
        <w:t>Inhoudsopgave</w:t>
      </w:r>
      <w:bookmarkEnd w:id="8"/>
      <w:bookmarkEnd w:id="9"/>
      <w:bookmarkEnd w:id="10"/>
      <w:bookmarkEnd w:id="11"/>
      <w:bookmarkEnd w:id="12"/>
      <w:r w:rsidR="009C7B76">
        <w:fldChar w:fldCharType="end"/>
      </w:r>
    </w:p>
    <w:p w14:paraId="11F4C52A" w14:textId="305D79C5" w:rsidR="00050D3F" w:rsidRDefault="00F07CD5">
      <w:pPr>
        <w:pStyle w:val="TOC1"/>
        <w:tabs>
          <w:tab w:val="right" w:leader="dot" w:pos="7716"/>
        </w:tabs>
        <w:rPr>
          <w:rFonts w:asciiTheme="minorHAnsi" w:eastAsiaTheme="minorEastAsia" w:hAnsiTheme="minorHAnsi" w:cstheme="minorBidi"/>
          <w:noProof/>
          <w:sz w:val="22"/>
          <w:szCs w:val="22"/>
        </w:rPr>
      </w:pPr>
      <w:r w:rsidRPr="00785F18">
        <w:fldChar w:fldCharType="begin"/>
      </w:r>
      <w:r w:rsidR="007816ED" w:rsidRPr="00785F18">
        <w:instrText xml:space="preserve"> TOC \t "Heading 1;2;Heading 2;3;Heading 3;4;Kop-Inhoudsopgave;1;Kop zonder nummering;1;Subtitle;2;Title;1" </w:instrText>
      </w:r>
      <w:r w:rsidRPr="00785F18">
        <w:fldChar w:fldCharType="separate"/>
      </w:r>
      <w:r w:rsidR="00050D3F">
        <w:rPr>
          <w:noProof/>
        </w:rPr>
        <w:t>Inhoudsopgave</w:t>
      </w:r>
      <w:r w:rsidR="00050D3F">
        <w:rPr>
          <w:noProof/>
        </w:rPr>
        <w:tab/>
      </w:r>
      <w:r w:rsidR="00050D3F">
        <w:rPr>
          <w:noProof/>
        </w:rPr>
        <w:fldChar w:fldCharType="begin"/>
      </w:r>
      <w:r w:rsidR="00050D3F">
        <w:rPr>
          <w:noProof/>
        </w:rPr>
        <w:instrText xml:space="preserve"> PAGEREF _Toc491439902 \h </w:instrText>
      </w:r>
      <w:r w:rsidR="00050D3F">
        <w:rPr>
          <w:noProof/>
        </w:rPr>
      </w:r>
      <w:r w:rsidR="00050D3F">
        <w:rPr>
          <w:noProof/>
        </w:rPr>
        <w:fldChar w:fldCharType="separate"/>
      </w:r>
      <w:r w:rsidR="00050D3F">
        <w:rPr>
          <w:noProof/>
        </w:rPr>
        <w:t>2</w:t>
      </w:r>
      <w:r w:rsidR="00050D3F">
        <w:rPr>
          <w:noProof/>
        </w:rPr>
        <w:fldChar w:fldCharType="end"/>
      </w:r>
    </w:p>
    <w:p w14:paraId="763C8458" w14:textId="3F3A8EEE" w:rsidR="00050D3F" w:rsidRDefault="00050D3F">
      <w:pPr>
        <w:pStyle w:val="TOC2"/>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Samenvatting</w:t>
      </w:r>
      <w:r>
        <w:tab/>
      </w:r>
      <w:r>
        <w:fldChar w:fldCharType="begin"/>
      </w:r>
      <w:r>
        <w:instrText xml:space="preserve"> PAGEREF _Toc491439903 \h </w:instrText>
      </w:r>
      <w:r>
        <w:fldChar w:fldCharType="separate"/>
      </w:r>
      <w:r>
        <w:t>3</w:t>
      </w:r>
      <w:r>
        <w:fldChar w:fldCharType="end"/>
      </w:r>
    </w:p>
    <w:p w14:paraId="0AAE1BA2" w14:textId="7EDC4551" w:rsidR="00050D3F" w:rsidRDefault="00050D3F">
      <w:pPr>
        <w:pStyle w:val="TOC3"/>
        <w:rPr>
          <w:rFonts w:asciiTheme="minorHAnsi" w:eastAsiaTheme="minorEastAsia" w:hAnsiTheme="minorHAnsi" w:cstheme="minorBidi"/>
          <w:sz w:val="22"/>
          <w:szCs w:val="22"/>
        </w:rPr>
      </w:pPr>
      <w:r>
        <w:t xml:space="preserve">1.1 </w:t>
      </w:r>
      <w:r>
        <w:rPr>
          <w:rFonts w:asciiTheme="minorHAnsi" w:eastAsiaTheme="minorEastAsia" w:hAnsiTheme="minorHAnsi" w:cstheme="minorBidi"/>
          <w:sz w:val="22"/>
          <w:szCs w:val="22"/>
        </w:rPr>
        <w:tab/>
      </w:r>
      <w:r>
        <w:t>Institutionele aspecten en functioneren</w:t>
      </w:r>
      <w:r>
        <w:tab/>
      </w:r>
      <w:r>
        <w:fldChar w:fldCharType="begin"/>
      </w:r>
      <w:r>
        <w:instrText xml:space="preserve"> PAGEREF _Toc491439904 \h </w:instrText>
      </w:r>
      <w:r>
        <w:fldChar w:fldCharType="separate"/>
      </w:r>
      <w:r>
        <w:t>3</w:t>
      </w:r>
      <w:r>
        <w:fldChar w:fldCharType="end"/>
      </w:r>
    </w:p>
    <w:p w14:paraId="5466CC79" w14:textId="54D86C74" w:rsidR="00050D3F" w:rsidRDefault="00050D3F">
      <w:pPr>
        <w:pStyle w:val="TOC3"/>
        <w:rPr>
          <w:rFonts w:asciiTheme="minorHAnsi" w:eastAsiaTheme="minorEastAsia" w:hAnsiTheme="minorHAnsi" w:cstheme="minorBidi"/>
          <w:sz w:val="22"/>
          <w:szCs w:val="22"/>
        </w:rPr>
      </w:pPr>
      <w:r>
        <w:t xml:space="preserve">1.2 </w:t>
      </w:r>
      <w:r>
        <w:rPr>
          <w:rFonts w:asciiTheme="minorHAnsi" w:eastAsiaTheme="minorEastAsia" w:hAnsiTheme="minorHAnsi" w:cstheme="minorBidi"/>
          <w:sz w:val="22"/>
          <w:szCs w:val="22"/>
        </w:rPr>
        <w:tab/>
      </w:r>
      <w:r>
        <w:t>Beleidsrelevantie</w:t>
      </w:r>
      <w:r>
        <w:tab/>
      </w:r>
      <w:r>
        <w:fldChar w:fldCharType="begin"/>
      </w:r>
      <w:r>
        <w:instrText xml:space="preserve"> PAGEREF _Toc491439905 \h </w:instrText>
      </w:r>
      <w:r>
        <w:fldChar w:fldCharType="separate"/>
      </w:r>
      <w:r>
        <w:t>3</w:t>
      </w:r>
      <w:r>
        <w:fldChar w:fldCharType="end"/>
      </w:r>
    </w:p>
    <w:p w14:paraId="06BF27C2" w14:textId="4CEC5F13" w:rsidR="00050D3F" w:rsidRDefault="00050D3F">
      <w:pPr>
        <w:pStyle w:val="TOC2"/>
        <w:rPr>
          <w:rFonts w:asciiTheme="minorHAnsi" w:eastAsiaTheme="minorEastAsia" w:hAnsiTheme="minorHAnsi" w:cstheme="minorBidi"/>
          <w:b w:val="0"/>
          <w:sz w:val="22"/>
          <w:szCs w:val="22"/>
        </w:rPr>
      </w:pPr>
      <w:r>
        <w:t xml:space="preserve">2 </w:t>
      </w:r>
      <w:r>
        <w:rPr>
          <w:rFonts w:asciiTheme="minorHAnsi" w:eastAsiaTheme="minorEastAsia" w:hAnsiTheme="minorHAnsi" w:cstheme="minorBidi"/>
          <w:b w:val="0"/>
          <w:sz w:val="22"/>
          <w:szCs w:val="22"/>
        </w:rPr>
        <w:tab/>
      </w:r>
      <w:r>
        <w:t>Inleiding</w:t>
      </w:r>
      <w:r>
        <w:tab/>
      </w:r>
      <w:r>
        <w:fldChar w:fldCharType="begin"/>
      </w:r>
      <w:r>
        <w:instrText xml:space="preserve"> PAGEREF _Toc491439906 \h </w:instrText>
      </w:r>
      <w:r>
        <w:fldChar w:fldCharType="separate"/>
      </w:r>
      <w:r>
        <w:t>5</w:t>
      </w:r>
      <w:r>
        <w:fldChar w:fldCharType="end"/>
      </w:r>
    </w:p>
    <w:p w14:paraId="6E65033B" w14:textId="1A5ADD85" w:rsidR="00050D3F" w:rsidRDefault="00050D3F">
      <w:pPr>
        <w:pStyle w:val="TOC2"/>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Algemene achtergrond</w:t>
      </w:r>
      <w:r>
        <w:tab/>
      </w:r>
      <w:r>
        <w:fldChar w:fldCharType="begin"/>
      </w:r>
      <w:r>
        <w:instrText xml:space="preserve"> PAGEREF _Toc491439907 \h </w:instrText>
      </w:r>
      <w:r>
        <w:fldChar w:fldCharType="separate"/>
      </w:r>
      <w:r>
        <w:t>6</w:t>
      </w:r>
      <w:r>
        <w:fldChar w:fldCharType="end"/>
      </w:r>
    </w:p>
    <w:p w14:paraId="3439F2C2" w14:textId="5B077291" w:rsidR="00050D3F" w:rsidRDefault="00050D3F">
      <w:pPr>
        <w:pStyle w:val="TOC3"/>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Doelstelling en toegevoegde waarde</w:t>
      </w:r>
      <w:r>
        <w:tab/>
      </w:r>
      <w:r>
        <w:fldChar w:fldCharType="begin"/>
      </w:r>
      <w:r>
        <w:instrText xml:space="preserve"> PAGEREF _Toc491439908 \h </w:instrText>
      </w:r>
      <w:r>
        <w:fldChar w:fldCharType="separate"/>
      </w:r>
      <w:r>
        <w:t>6</w:t>
      </w:r>
      <w:r>
        <w:fldChar w:fldCharType="end"/>
      </w:r>
    </w:p>
    <w:p w14:paraId="2E22CDED" w14:textId="3B3C8BF7" w:rsidR="00050D3F" w:rsidRDefault="00050D3F">
      <w:pPr>
        <w:pStyle w:val="TOC3"/>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Organisatie, werkwijze en activiteiten</w:t>
      </w:r>
      <w:r>
        <w:tab/>
      </w:r>
      <w:r>
        <w:fldChar w:fldCharType="begin"/>
      </w:r>
      <w:r>
        <w:instrText xml:space="preserve"> PAGEREF _Toc491439909 \h </w:instrText>
      </w:r>
      <w:r>
        <w:fldChar w:fldCharType="separate"/>
      </w:r>
      <w:r>
        <w:t>7</w:t>
      </w:r>
      <w:r>
        <w:fldChar w:fldCharType="end"/>
      </w:r>
    </w:p>
    <w:p w14:paraId="0842C196" w14:textId="5FBD1BA4" w:rsidR="00050D3F" w:rsidRDefault="00050D3F">
      <w:pPr>
        <w:pStyle w:val="TOC3"/>
        <w:rPr>
          <w:rFonts w:asciiTheme="minorHAnsi" w:eastAsiaTheme="minorEastAsia" w:hAnsiTheme="minorHAnsi" w:cstheme="minorBidi"/>
          <w:sz w:val="22"/>
          <w:szCs w:val="22"/>
        </w:rPr>
      </w:pPr>
      <w:r>
        <w:t xml:space="preserve">3.3 </w:t>
      </w:r>
      <w:r>
        <w:rPr>
          <w:rFonts w:asciiTheme="minorHAnsi" w:eastAsiaTheme="minorEastAsia" w:hAnsiTheme="minorHAnsi" w:cstheme="minorBidi"/>
          <w:sz w:val="22"/>
          <w:szCs w:val="22"/>
        </w:rPr>
        <w:tab/>
      </w:r>
      <w:r>
        <w:t>Nederlandse rol en invloed</w:t>
      </w:r>
      <w:r>
        <w:tab/>
      </w:r>
      <w:r>
        <w:fldChar w:fldCharType="begin"/>
      </w:r>
      <w:r>
        <w:instrText xml:space="preserve"> PAGEREF _Toc491439910 \h </w:instrText>
      </w:r>
      <w:r>
        <w:fldChar w:fldCharType="separate"/>
      </w:r>
      <w:r>
        <w:t>8</w:t>
      </w:r>
      <w:r>
        <w:fldChar w:fldCharType="end"/>
      </w:r>
    </w:p>
    <w:p w14:paraId="04094BB9" w14:textId="20FBDD8E" w:rsidR="00050D3F" w:rsidRDefault="00050D3F">
      <w:pPr>
        <w:pStyle w:val="TOC3"/>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Financiële omvang en bijdragen</w:t>
      </w:r>
      <w:r>
        <w:tab/>
      </w:r>
      <w:r>
        <w:fldChar w:fldCharType="begin"/>
      </w:r>
      <w:r>
        <w:instrText xml:space="preserve"> PAGEREF _Toc491439911 \h </w:instrText>
      </w:r>
      <w:r>
        <w:fldChar w:fldCharType="separate"/>
      </w:r>
      <w:r>
        <w:t>9</w:t>
      </w:r>
      <w:r>
        <w:fldChar w:fldCharType="end"/>
      </w:r>
    </w:p>
    <w:p w14:paraId="73AA9C78" w14:textId="4732F2BA" w:rsidR="00050D3F" w:rsidRDefault="00050D3F">
      <w:pPr>
        <w:pStyle w:val="TOC2"/>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Institutionele aspecten en functioneren van de organisatie</w:t>
      </w:r>
      <w:r>
        <w:tab/>
      </w:r>
      <w:r>
        <w:fldChar w:fldCharType="begin"/>
      </w:r>
      <w:r>
        <w:instrText xml:space="preserve"> PAGEREF _Toc491439912 \h </w:instrText>
      </w:r>
      <w:r>
        <w:fldChar w:fldCharType="separate"/>
      </w:r>
      <w:r>
        <w:t>10</w:t>
      </w:r>
      <w:r>
        <w:fldChar w:fldCharType="end"/>
      </w:r>
    </w:p>
    <w:p w14:paraId="7341A47F" w14:textId="3568CB8C" w:rsidR="00050D3F" w:rsidRDefault="00050D3F">
      <w:pPr>
        <w:pStyle w:val="TOC3"/>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Strategie en verantwoording</w:t>
      </w:r>
      <w:r>
        <w:tab/>
      </w:r>
      <w:r>
        <w:fldChar w:fldCharType="begin"/>
      </w:r>
      <w:r>
        <w:instrText xml:space="preserve"> PAGEREF _Toc491439913 \h </w:instrText>
      </w:r>
      <w:r>
        <w:fldChar w:fldCharType="separate"/>
      </w:r>
      <w:r>
        <w:t>10</w:t>
      </w:r>
      <w:r>
        <w:fldChar w:fldCharType="end"/>
      </w:r>
    </w:p>
    <w:p w14:paraId="3850948C" w14:textId="0C6B738C" w:rsidR="00050D3F" w:rsidRDefault="00050D3F">
      <w:pPr>
        <w:pStyle w:val="TOC3"/>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Resultaatgerichtheid en transparantie</w:t>
      </w:r>
      <w:r>
        <w:tab/>
      </w:r>
      <w:r>
        <w:fldChar w:fldCharType="begin"/>
      </w:r>
      <w:r>
        <w:instrText xml:space="preserve"> PAGEREF _Toc491439914 \h </w:instrText>
      </w:r>
      <w:r>
        <w:fldChar w:fldCharType="separate"/>
      </w:r>
      <w:r>
        <w:t>10</w:t>
      </w:r>
      <w:r>
        <w:fldChar w:fldCharType="end"/>
      </w:r>
    </w:p>
    <w:p w14:paraId="065F94CE" w14:textId="0879F6FD" w:rsidR="00050D3F" w:rsidRDefault="00050D3F">
      <w:pPr>
        <w:pStyle w:val="TOC3"/>
        <w:rPr>
          <w:rFonts w:asciiTheme="minorHAnsi" w:eastAsiaTheme="minorEastAsia" w:hAnsiTheme="minorHAnsi" w:cstheme="minorBidi"/>
          <w:sz w:val="22"/>
          <w:szCs w:val="22"/>
        </w:rPr>
      </w:pPr>
      <w:r w:rsidRPr="00050D3F">
        <w:t>4.3</w:t>
      </w:r>
      <w:r>
        <w:rPr>
          <w:rFonts w:asciiTheme="minorHAnsi" w:eastAsiaTheme="minorEastAsia" w:hAnsiTheme="minorHAnsi" w:cstheme="minorBidi"/>
          <w:sz w:val="22"/>
          <w:szCs w:val="22"/>
        </w:rPr>
        <w:tab/>
      </w:r>
      <w:r>
        <w:t>Partnerschappen en samenwerking</w:t>
      </w:r>
      <w:r>
        <w:tab/>
      </w:r>
      <w:r>
        <w:fldChar w:fldCharType="begin"/>
      </w:r>
      <w:r>
        <w:instrText xml:space="preserve"> PAGEREF _Toc491439915 \h </w:instrText>
      </w:r>
      <w:r>
        <w:fldChar w:fldCharType="separate"/>
      </w:r>
      <w:r>
        <w:t>11</w:t>
      </w:r>
      <w:r>
        <w:fldChar w:fldCharType="end"/>
      </w:r>
    </w:p>
    <w:p w14:paraId="1BDC636D" w14:textId="48D75171" w:rsidR="00050D3F" w:rsidRDefault="00050D3F">
      <w:pPr>
        <w:pStyle w:val="TOC3"/>
        <w:rPr>
          <w:rFonts w:asciiTheme="minorHAnsi" w:eastAsiaTheme="minorEastAsia" w:hAnsiTheme="minorHAnsi" w:cstheme="minorBidi"/>
          <w:sz w:val="22"/>
          <w:szCs w:val="22"/>
        </w:rPr>
      </w:pPr>
      <w:r>
        <w:t xml:space="preserve">4.4 </w:t>
      </w:r>
      <w:r>
        <w:rPr>
          <w:rFonts w:asciiTheme="minorHAnsi" w:eastAsiaTheme="minorEastAsia" w:hAnsiTheme="minorHAnsi" w:cstheme="minorBidi"/>
          <w:sz w:val="22"/>
          <w:szCs w:val="22"/>
        </w:rPr>
        <w:tab/>
      </w:r>
      <w:r>
        <w:t>Operationeel management</w:t>
      </w:r>
      <w:r>
        <w:tab/>
      </w:r>
      <w:r>
        <w:fldChar w:fldCharType="begin"/>
      </w:r>
      <w:r>
        <w:instrText xml:space="preserve"> PAGEREF _Toc491439916 \h </w:instrText>
      </w:r>
      <w:r>
        <w:fldChar w:fldCharType="separate"/>
      </w:r>
      <w:r>
        <w:t>12</w:t>
      </w:r>
      <w:r>
        <w:fldChar w:fldCharType="end"/>
      </w:r>
    </w:p>
    <w:p w14:paraId="70DF161A" w14:textId="7F5B2410" w:rsidR="00050D3F" w:rsidRDefault="00050D3F">
      <w:pPr>
        <w:pStyle w:val="TOC3"/>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Beleidsevaluatie</w:t>
      </w:r>
      <w:r>
        <w:tab/>
      </w:r>
      <w:r>
        <w:fldChar w:fldCharType="begin"/>
      </w:r>
      <w:r>
        <w:instrText xml:space="preserve"> PAGEREF _Toc491439917 \h </w:instrText>
      </w:r>
      <w:r>
        <w:fldChar w:fldCharType="separate"/>
      </w:r>
      <w:r>
        <w:t>13</w:t>
      </w:r>
      <w:r>
        <w:fldChar w:fldCharType="end"/>
      </w:r>
    </w:p>
    <w:p w14:paraId="395FC48E" w14:textId="69D408B0" w:rsidR="00050D3F" w:rsidRDefault="00050D3F">
      <w:pPr>
        <w:pStyle w:val="TOC3"/>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Human Resource Management</w:t>
      </w:r>
      <w:r>
        <w:tab/>
      </w:r>
      <w:r>
        <w:fldChar w:fldCharType="begin"/>
      </w:r>
      <w:r>
        <w:instrText xml:space="preserve"> PAGEREF _Toc491439918 \h </w:instrText>
      </w:r>
      <w:r>
        <w:fldChar w:fldCharType="separate"/>
      </w:r>
      <w:r>
        <w:t>13</w:t>
      </w:r>
      <w:r>
        <w:fldChar w:fldCharType="end"/>
      </w:r>
    </w:p>
    <w:p w14:paraId="2A043EA6" w14:textId="2752BE2C" w:rsidR="00050D3F" w:rsidRDefault="00050D3F">
      <w:pPr>
        <w:pStyle w:val="TOC3"/>
        <w:rPr>
          <w:rFonts w:asciiTheme="minorHAnsi" w:eastAsiaTheme="minorEastAsia" w:hAnsiTheme="minorHAnsi" w:cstheme="minorBidi"/>
          <w:sz w:val="22"/>
          <w:szCs w:val="22"/>
        </w:rPr>
      </w:pPr>
      <w:r>
        <w:t xml:space="preserve">4.7 </w:t>
      </w:r>
      <w:r>
        <w:rPr>
          <w:rFonts w:asciiTheme="minorHAnsi" w:eastAsiaTheme="minorEastAsia" w:hAnsiTheme="minorHAnsi" w:cstheme="minorBidi"/>
          <w:sz w:val="22"/>
          <w:szCs w:val="22"/>
        </w:rPr>
        <w:tab/>
      </w:r>
      <w:r>
        <w:t>Financiële stabiliteit</w:t>
      </w:r>
      <w:r>
        <w:tab/>
      </w:r>
      <w:r>
        <w:fldChar w:fldCharType="begin"/>
      </w:r>
      <w:r>
        <w:instrText xml:space="preserve"> PAGEREF _Toc491439919 \h </w:instrText>
      </w:r>
      <w:r>
        <w:fldChar w:fldCharType="separate"/>
      </w:r>
      <w:r>
        <w:t>14</w:t>
      </w:r>
      <w:r>
        <w:fldChar w:fldCharType="end"/>
      </w:r>
    </w:p>
    <w:p w14:paraId="7FE42F95" w14:textId="29B728A3" w:rsidR="00050D3F" w:rsidRDefault="00050D3F">
      <w:pPr>
        <w:pStyle w:val="TOC3"/>
        <w:rPr>
          <w:rFonts w:asciiTheme="minorHAnsi" w:eastAsiaTheme="minorEastAsia" w:hAnsiTheme="minorHAnsi" w:cstheme="minorBidi"/>
          <w:sz w:val="22"/>
          <w:szCs w:val="22"/>
        </w:rPr>
      </w:pPr>
      <w:r>
        <w:t xml:space="preserve">4.8 </w:t>
      </w:r>
      <w:r>
        <w:rPr>
          <w:rFonts w:asciiTheme="minorHAnsi" w:eastAsiaTheme="minorEastAsia" w:hAnsiTheme="minorHAnsi" w:cstheme="minorBidi"/>
          <w:sz w:val="22"/>
          <w:szCs w:val="22"/>
        </w:rPr>
        <w:tab/>
      </w:r>
      <w:r>
        <w:t>Kostenreductie</w:t>
      </w:r>
      <w:r>
        <w:tab/>
      </w:r>
      <w:r>
        <w:fldChar w:fldCharType="begin"/>
      </w:r>
      <w:r>
        <w:instrText xml:space="preserve"> PAGEREF _Toc491439920 \h </w:instrText>
      </w:r>
      <w:r>
        <w:fldChar w:fldCharType="separate"/>
      </w:r>
      <w:r>
        <w:t>15</w:t>
      </w:r>
      <w:r>
        <w:fldChar w:fldCharType="end"/>
      </w:r>
    </w:p>
    <w:p w14:paraId="700259B1" w14:textId="0C073885" w:rsidR="00050D3F" w:rsidRDefault="00050D3F">
      <w:pPr>
        <w:pStyle w:val="TOC3"/>
        <w:rPr>
          <w:rFonts w:asciiTheme="minorHAnsi" w:eastAsiaTheme="minorEastAsia" w:hAnsiTheme="minorHAnsi" w:cstheme="minorBidi"/>
          <w:sz w:val="22"/>
          <w:szCs w:val="22"/>
        </w:rPr>
      </w:pPr>
      <w:r>
        <w:t xml:space="preserve">4.9 </w:t>
      </w:r>
      <w:r>
        <w:rPr>
          <w:rFonts w:asciiTheme="minorHAnsi" w:eastAsiaTheme="minorEastAsia" w:hAnsiTheme="minorHAnsi" w:cstheme="minorBidi"/>
          <w:sz w:val="22"/>
          <w:szCs w:val="22"/>
        </w:rPr>
        <w:tab/>
      </w:r>
      <w:r>
        <w:t>Corruptiebestrijding</w:t>
      </w:r>
      <w:r>
        <w:tab/>
      </w:r>
      <w:r>
        <w:fldChar w:fldCharType="begin"/>
      </w:r>
      <w:r>
        <w:instrText xml:space="preserve"> PAGEREF _Toc491439921 \h </w:instrText>
      </w:r>
      <w:r>
        <w:fldChar w:fldCharType="separate"/>
      </w:r>
      <w:r>
        <w:t>16</w:t>
      </w:r>
      <w:r>
        <w:fldChar w:fldCharType="end"/>
      </w:r>
    </w:p>
    <w:p w14:paraId="2537D12A" w14:textId="5DC4305D" w:rsidR="00050D3F" w:rsidRDefault="00050D3F">
      <w:pPr>
        <w:pStyle w:val="TOC2"/>
        <w:rPr>
          <w:rFonts w:asciiTheme="minorHAnsi" w:eastAsiaTheme="minorEastAsia" w:hAnsiTheme="minorHAnsi" w:cstheme="minorBidi"/>
          <w:b w:val="0"/>
          <w:sz w:val="22"/>
          <w:szCs w:val="22"/>
        </w:rPr>
      </w:pPr>
      <w:r>
        <w:t xml:space="preserve">5 </w:t>
      </w:r>
      <w:r>
        <w:rPr>
          <w:rFonts w:asciiTheme="minorHAnsi" w:eastAsiaTheme="minorEastAsia" w:hAnsiTheme="minorHAnsi" w:cstheme="minorBidi"/>
          <w:b w:val="0"/>
          <w:sz w:val="22"/>
          <w:szCs w:val="22"/>
        </w:rPr>
        <w:tab/>
      </w:r>
      <w:r>
        <w:t>Relevantie van de organisatie</w:t>
      </w:r>
      <w:r>
        <w:tab/>
      </w:r>
      <w:r>
        <w:fldChar w:fldCharType="begin"/>
      </w:r>
      <w:r>
        <w:instrText xml:space="preserve"> PAGEREF _Toc491439922 \h </w:instrText>
      </w:r>
      <w:r>
        <w:fldChar w:fldCharType="separate"/>
      </w:r>
      <w:r>
        <w:t>17</w:t>
      </w:r>
      <w:r>
        <w:fldChar w:fldCharType="end"/>
      </w:r>
    </w:p>
    <w:p w14:paraId="69600774" w14:textId="1B099303" w:rsidR="00050D3F" w:rsidRDefault="00050D3F">
      <w:pPr>
        <w:pStyle w:val="TOC3"/>
        <w:rPr>
          <w:rFonts w:asciiTheme="minorHAnsi" w:eastAsiaTheme="minorEastAsia" w:hAnsiTheme="minorHAnsi" w:cstheme="minorBidi"/>
          <w:sz w:val="22"/>
          <w:szCs w:val="22"/>
        </w:rPr>
      </w:pPr>
      <w:r>
        <w:t xml:space="preserve">5.1 </w:t>
      </w:r>
      <w:r>
        <w:rPr>
          <w:rFonts w:asciiTheme="minorHAnsi" w:eastAsiaTheme="minorEastAsia" w:hAnsiTheme="minorHAnsi" w:cstheme="minorBidi"/>
          <w:sz w:val="22"/>
          <w:szCs w:val="22"/>
        </w:rPr>
        <w:tab/>
      </w:r>
      <w:r>
        <w:t>Relevantie voor Nederlandse BHOS-prioriteiten</w:t>
      </w:r>
      <w:r>
        <w:tab/>
      </w:r>
      <w:r>
        <w:fldChar w:fldCharType="begin"/>
      </w:r>
      <w:r>
        <w:instrText xml:space="preserve"> PAGEREF _Toc491439923 \h </w:instrText>
      </w:r>
      <w:r>
        <w:fldChar w:fldCharType="separate"/>
      </w:r>
      <w:r>
        <w:t>17</w:t>
      </w:r>
      <w:r>
        <w:fldChar w:fldCharType="end"/>
      </w:r>
    </w:p>
    <w:p w14:paraId="240AED1F" w14:textId="249D592D" w:rsidR="00050D3F" w:rsidRDefault="00050D3F">
      <w:pPr>
        <w:pStyle w:val="TOC3"/>
        <w:rPr>
          <w:rFonts w:asciiTheme="minorHAnsi" w:eastAsiaTheme="minorEastAsia" w:hAnsiTheme="minorHAnsi" w:cstheme="minorBidi"/>
          <w:sz w:val="22"/>
          <w:szCs w:val="22"/>
        </w:rPr>
      </w:pPr>
      <w:r>
        <w:t>5.2              Overige relevantie</w:t>
      </w:r>
      <w:r>
        <w:tab/>
      </w:r>
      <w:r>
        <w:fldChar w:fldCharType="begin"/>
      </w:r>
      <w:r>
        <w:instrText xml:space="preserve"> PAGEREF _Toc491439924 \h </w:instrText>
      </w:r>
      <w:r>
        <w:fldChar w:fldCharType="separate"/>
      </w:r>
      <w:r>
        <w:t>20</w:t>
      </w:r>
      <w:r>
        <w:fldChar w:fldCharType="end"/>
      </w:r>
    </w:p>
    <w:p w14:paraId="6F551513" w14:textId="03208757" w:rsidR="007816ED" w:rsidRPr="00290657" w:rsidRDefault="00F07CD5" w:rsidP="007816ED">
      <w:pPr>
        <w:pStyle w:val="TOC3"/>
        <w:rPr>
          <w:rFonts w:ascii="Calibri" w:hAnsi="Calibri"/>
          <w:sz w:val="22"/>
          <w:szCs w:val="22"/>
        </w:rPr>
      </w:pPr>
      <w:r w:rsidRPr="00785F18">
        <w:fldChar w:fldCharType="end"/>
      </w:r>
    </w:p>
    <w:p w14:paraId="2E167AB5" w14:textId="77777777" w:rsidR="007816ED" w:rsidRPr="00785F18" w:rsidRDefault="007816ED" w:rsidP="007816ED">
      <w:pPr>
        <w:tabs>
          <w:tab w:val="left" w:pos="0"/>
        </w:tabs>
      </w:pPr>
    </w:p>
    <w:p w14:paraId="2F6E2E86" w14:textId="77777777" w:rsidR="007816ED" w:rsidRDefault="007816ED" w:rsidP="007816ED"/>
    <w:p w14:paraId="30FB8A12" w14:textId="77777777" w:rsidR="007816ED" w:rsidRPr="00A908F9" w:rsidRDefault="007816ED" w:rsidP="007816ED"/>
    <w:p w14:paraId="3CECA1A4" w14:textId="77777777" w:rsidR="007816ED" w:rsidRPr="00A908F9" w:rsidRDefault="007816ED" w:rsidP="007816ED"/>
    <w:p w14:paraId="5D01E6E5" w14:textId="77777777" w:rsidR="007816ED" w:rsidRDefault="007816ED" w:rsidP="007816ED">
      <w:pPr>
        <w:jc w:val="center"/>
      </w:pPr>
    </w:p>
    <w:p w14:paraId="2D03C29F" w14:textId="77777777" w:rsidR="007816ED" w:rsidRPr="00A908F9" w:rsidRDefault="007816ED" w:rsidP="007816ED">
      <w:pPr>
        <w:sectPr w:rsidR="007816ED" w:rsidRPr="00A908F9" w:rsidSect="007816ED">
          <w:headerReference w:type="first" r:id="rId17"/>
          <w:type w:val="continuous"/>
          <w:pgSz w:w="11906" w:h="16838" w:code="9"/>
          <w:pgMar w:top="2520" w:right="960" w:bottom="1080" w:left="3220" w:header="200" w:footer="660" w:gutter="0"/>
          <w:cols w:space="708"/>
          <w:titlePg/>
          <w:docGrid w:linePitch="360"/>
        </w:sectPr>
      </w:pPr>
      <w:bookmarkStart w:id="13" w:name="_GoBack"/>
      <w:bookmarkEnd w:id="13"/>
    </w:p>
    <w:p w14:paraId="6911F886" w14:textId="1C233181" w:rsidR="004E4757" w:rsidRDefault="004E4757" w:rsidP="004E4757">
      <w:pPr>
        <w:pStyle w:val="Heading1"/>
        <w:tabs>
          <w:tab w:val="num" w:pos="0"/>
        </w:tabs>
        <w:spacing w:after="240" w:line="240" w:lineRule="auto"/>
        <w:ind w:hanging="1162"/>
      </w:pPr>
      <w:bookmarkStart w:id="14" w:name="_Toc238533654"/>
      <w:bookmarkStart w:id="15" w:name="_Toc238537583"/>
      <w:bookmarkStart w:id="16" w:name="_Toc238538136"/>
      <w:bookmarkStart w:id="17" w:name="_Toc238538151"/>
      <w:bookmarkStart w:id="18" w:name="_Toc484612338"/>
      <w:bookmarkStart w:id="19" w:name="_Toc300822504"/>
      <w:bookmarkStart w:id="20" w:name="_Toc491439903"/>
      <w:bookmarkEnd w:id="14"/>
      <w:bookmarkEnd w:id="15"/>
      <w:bookmarkEnd w:id="16"/>
      <w:bookmarkEnd w:id="17"/>
      <w:r>
        <w:lastRenderedPageBreak/>
        <w:t>1.</w:t>
      </w:r>
      <w:r>
        <w:tab/>
        <w:t>Samenvatting</w:t>
      </w:r>
      <w:bookmarkEnd w:id="18"/>
      <w:bookmarkEnd w:id="20"/>
    </w:p>
    <w:p w14:paraId="2805E6CE" w14:textId="172AE8D3" w:rsidR="004E4757" w:rsidRDefault="004E4757" w:rsidP="004E4757">
      <w:pPr>
        <w:pStyle w:val="Heading2"/>
        <w:tabs>
          <w:tab w:val="left" w:pos="-1162"/>
          <w:tab w:val="left" w:pos="0"/>
          <w:tab w:val="num" w:pos="1160"/>
        </w:tabs>
        <w:spacing w:line="240" w:lineRule="auto"/>
        <w:ind w:hanging="1162"/>
      </w:pPr>
      <w:bookmarkStart w:id="21" w:name="_Toc484612339"/>
      <w:bookmarkStart w:id="22" w:name="_Toc491439904"/>
      <w:r>
        <w:t xml:space="preserve">1.1 </w:t>
      </w:r>
      <w:r>
        <w:tab/>
        <w:t>Institutionele aspecten en functioneren</w:t>
      </w:r>
      <w:bookmarkEnd w:id="21"/>
      <w:bookmarkEnd w:id="22"/>
    </w:p>
    <w:p w14:paraId="343E4A09" w14:textId="23304BB8" w:rsidR="002D1811" w:rsidRDefault="002D1811" w:rsidP="004E4757">
      <w:r>
        <w:t>De Ba</w:t>
      </w:r>
      <w:r w:rsidR="00151942">
        <w:t>nk is met haar nieuwe strategie</w:t>
      </w:r>
      <w:r>
        <w:t xml:space="preserve"> </w:t>
      </w:r>
      <w:r w:rsidR="00151942">
        <w:t>(</w:t>
      </w:r>
      <w:r>
        <w:t xml:space="preserve">de </w:t>
      </w:r>
      <w:r w:rsidRPr="007D399B">
        <w:rPr>
          <w:i/>
        </w:rPr>
        <w:t>Forward Look</w:t>
      </w:r>
      <w:r w:rsidR="00151942">
        <w:t>)</w:t>
      </w:r>
      <w:r>
        <w:t xml:space="preserve"> </w:t>
      </w:r>
      <w:r w:rsidRPr="007D399B">
        <w:rPr>
          <w:i/>
        </w:rPr>
        <w:t xml:space="preserve">fit </w:t>
      </w:r>
      <w:proofErr w:type="spellStart"/>
      <w:r w:rsidRPr="007D399B">
        <w:rPr>
          <w:i/>
        </w:rPr>
        <w:t>for</w:t>
      </w:r>
      <w:proofErr w:type="spellEnd"/>
      <w:r w:rsidRPr="007D399B">
        <w:rPr>
          <w:i/>
        </w:rPr>
        <w:t xml:space="preserve"> </w:t>
      </w:r>
      <w:proofErr w:type="spellStart"/>
      <w:r w:rsidRPr="007D399B">
        <w:rPr>
          <w:i/>
        </w:rPr>
        <w:t>purpose</w:t>
      </w:r>
      <w:proofErr w:type="spellEnd"/>
      <w:r>
        <w:t xml:space="preserve"> om een significante bijdrage te lev</w:t>
      </w:r>
      <w:r w:rsidR="00151942">
        <w:t xml:space="preserve">eren aan het behalen van de </w:t>
      </w:r>
      <w:proofErr w:type="spellStart"/>
      <w:r w:rsidR="00151942">
        <w:t>SDG</w:t>
      </w:r>
      <w:r>
        <w:t>s</w:t>
      </w:r>
      <w:proofErr w:type="spellEnd"/>
      <w:r>
        <w:t xml:space="preserve"> en het nakomen van de klimaatafspraken. De Bank wordt steeds actiever op het grensvlak van humanitaire interventies en structurele ontwikkelingsprogramma’s omdat door crises en conflict ontwikkelingsresultaten teniet dreigen te worden gedaan. Het is belangrijk dat de Bank zich hierbij houdt aan haar mandaat, en via hechtere samenwerking met de VN, bedrijven, private fondsen en maatschappelijk middenveld een ontwikkelingsimpact genereert die haar eigen vermogen te boven gaat. Het blijft daarbij zaak competenties en verantwoordelijkheden goed af te bakenen. De onderdelen van de WBG kunnen hierbij soms strategischer opereren en meer maatwerk leveren, met name op landenniveau. De Bank loopt internationaal voorop op het terrein van resultaatgerichtheid en transparantie en blijft zich op dit punt steeds verder verbeteren. Hoewel het business en financieel profiel van de Bank als zeer solide worden gewaardeerd door de </w:t>
      </w:r>
      <w:r w:rsidRPr="00986DE1">
        <w:rPr>
          <w:i/>
        </w:rPr>
        <w:t xml:space="preserve">rating </w:t>
      </w:r>
      <w:proofErr w:type="spellStart"/>
      <w:r w:rsidRPr="00986DE1">
        <w:rPr>
          <w:i/>
        </w:rPr>
        <w:t>agencies</w:t>
      </w:r>
      <w:proofErr w:type="spellEnd"/>
      <w:r>
        <w:t xml:space="preserve">, moet de </w:t>
      </w:r>
      <w:proofErr w:type="spellStart"/>
      <w:r>
        <w:t>kapitaaltoerekendheid</w:t>
      </w:r>
      <w:proofErr w:type="spellEnd"/>
      <w:r>
        <w:t xml:space="preserve"> van de Bank het komende jaar zorgvuldig worden geanalyseerd, waarbij ook goed wordt gekeken naar efficiëntiemaatregelen.</w:t>
      </w:r>
    </w:p>
    <w:p w14:paraId="461412E6" w14:textId="77777777" w:rsidR="002D1811" w:rsidRDefault="002D1811" w:rsidP="004E4757"/>
    <w:tbl>
      <w:tblPr>
        <w:tblW w:w="7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8"/>
        <w:gridCol w:w="841"/>
        <w:gridCol w:w="1374"/>
      </w:tblGrid>
      <w:tr w:rsidR="004E4757" w14:paraId="623FAFFF" w14:textId="77777777" w:rsidTr="00F2099E">
        <w:tc>
          <w:tcPr>
            <w:tcW w:w="5708" w:type="dxa"/>
            <w:tcBorders>
              <w:top w:val="single" w:sz="12" w:space="0" w:color="auto"/>
              <w:left w:val="single" w:sz="12" w:space="0" w:color="auto"/>
              <w:bottom w:val="single" w:sz="12" w:space="0" w:color="auto"/>
              <w:right w:val="single" w:sz="4" w:space="0" w:color="auto"/>
            </w:tcBorders>
            <w:shd w:val="clear" w:color="auto" w:fill="BFBFBF" w:themeFill="background1" w:themeFillShade="BF"/>
          </w:tcPr>
          <w:p w14:paraId="5FB676F9" w14:textId="5C4BFEF4" w:rsidR="004E4757" w:rsidRDefault="004E4757" w:rsidP="002D1811">
            <w:r w:rsidRPr="008F1B70">
              <w:rPr>
                <w:b/>
              </w:rPr>
              <w:t xml:space="preserve">Institutionele aspecten </w:t>
            </w:r>
            <w:r>
              <w:rPr>
                <w:b/>
              </w:rPr>
              <w:t>en functioneren</w:t>
            </w:r>
          </w:p>
        </w:tc>
        <w:tc>
          <w:tcPr>
            <w:tcW w:w="841" w:type="dxa"/>
            <w:tcBorders>
              <w:top w:val="single" w:sz="12" w:space="0" w:color="auto"/>
              <w:left w:val="single" w:sz="4" w:space="0" w:color="auto"/>
              <w:bottom w:val="single" w:sz="12" w:space="0" w:color="auto"/>
              <w:right w:val="single" w:sz="4" w:space="0" w:color="auto"/>
            </w:tcBorders>
            <w:shd w:val="clear" w:color="auto" w:fill="BFBFBF" w:themeFill="background1" w:themeFillShade="BF"/>
          </w:tcPr>
          <w:p w14:paraId="75FF2AFC" w14:textId="77777777" w:rsidR="004E4757" w:rsidRDefault="004E4757" w:rsidP="002D1811">
            <w:r>
              <w:t>Score</w:t>
            </w:r>
          </w:p>
        </w:tc>
        <w:tc>
          <w:tcPr>
            <w:tcW w:w="1374" w:type="dxa"/>
            <w:tcBorders>
              <w:top w:val="single" w:sz="12" w:space="0" w:color="auto"/>
              <w:left w:val="single" w:sz="4" w:space="0" w:color="auto"/>
              <w:bottom w:val="single" w:sz="12" w:space="0" w:color="auto"/>
              <w:right w:val="single" w:sz="12" w:space="0" w:color="auto"/>
            </w:tcBorders>
            <w:shd w:val="clear" w:color="auto" w:fill="BFBFBF" w:themeFill="background1" w:themeFillShade="BF"/>
          </w:tcPr>
          <w:p w14:paraId="59210167" w14:textId="77777777" w:rsidR="004E4757" w:rsidRDefault="004E4757" w:rsidP="002D1811">
            <w:r>
              <w:t>Verandering</w:t>
            </w:r>
          </w:p>
        </w:tc>
      </w:tr>
      <w:tr w:rsidR="004E4757" w14:paraId="5E6CFED2" w14:textId="77777777" w:rsidTr="00F2099E">
        <w:tc>
          <w:tcPr>
            <w:tcW w:w="5708" w:type="dxa"/>
            <w:tcBorders>
              <w:top w:val="single" w:sz="12" w:space="0" w:color="auto"/>
              <w:left w:val="single" w:sz="12" w:space="0" w:color="auto"/>
            </w:tcBorders>
            <w:shd w:val="clear" w:color="auto" w:fill="auto"/>
          </w:tcPr>
          <w:p w14:paraId="691CF68C" w14:textId="77777777" w:rsidR="004E4757" w:rsidRPr="00C26035" w:rsidRDefault="004E4757" w:rsidP="002D1811">
            <w:r>
              <w:t>Strategie en verantwoording</w:t>
            </w:r>
            <w:r w:rsidRPr="00C26035">
              <w:t xml:space="preserve"> </w:t>
            </w:r>
          </w:p>
        </w:tc>
        <w:tc>
          <w:tcPr>
            <w:tcW w:w="841" w:type="dxa"/>
            <w:tcBorders>
              <w:top w:val="single" w:sz="12" w:space="0" w:color="auto"/>
            </w:tcBorders>
            <w:shd w:val="clear" w:color="auto" w:fill="auto"/>
            <w:vAlign w:val="center"/>
          </w:tcPr>
          <w:p w14:paraId="172B51F2" w14:textId="77777777" w:rsidR="004E4757" w:rsidRDefault="004E4757" w:rsidP="002D1811">
            <w:pPr>
              <w:jc w:val="center"/>
            </w:pPr>
            <w:r>
              <w:t>4</w:t>
            </w:r>
          </w:p>
        </w:tc>
        <w:tc>
          <w:tcPr>
            <w:tcW w:w="1374" w:type="dxa"/>
            <w:tcBorders>
              <w:top w:val="single" w:sz="12" w:space="0" w:color="auto"/>
              <w:right w:val="single" w:sz="12" w:space="0" w:color="auto"/>
            </w:tcBorders>
            <w:shd w:val="clear" w:color="auto" w:fill="auto"/>
            <w:vAlign w:val="center"/>
          </w:tcPr>
          <w:p w14:paraId="73F378C4" w14:textId="77777777" w:rsidR="004E4757" w:rsidRDefault="004E4757" w:rsidP="002D1811">
            <w:pPr>
              <w:jc w:val="center"/>
            </w:pPr>
            <w:r w:rsidRPr="00193994">
              <w:sym w:font="Wingdings" w:char="F0E9"/>
            </w:r>
          </w:p>
        </w:tc>
      </w:tr>
      <w:tr w:rsidR="004E4757" w14:paraId="6B6AEEC2" w14:textId="77777777" w:rsidTr="00F2099E">
        <w:tc>
          <w:tcPr>
            <w:tcW w:w="5708" w:type="dxa"/>
            <w:tcBorders>
              <w:left w:val="single" w:sz="12" w:space="0" w:color="auto"/>
            </w:tcBorders>
            <w:shd w:val="clear" w:color="auto" w:fill="auto"/>
          </w:tcPr>
          <w:p w14:paraId="2FE34873" w14:textId="77777777" w:rsidR="004E4757" w:rsidRDefault="004E4757" w:rsidP="002D1811">
            <w:r>
              <w:t>Resultaatgerichtheid en transparantie</w:t>
            </w:r>
          </w:p>
        </w:tc>
        <w:tc>
          <w:tcPr>
            <w:tcW w:w="841" w:type="dxa"/>
            <w:shd w:val="clear" w:color="auto" w:fill="auto"/>
            <w:vAlign w:val="center"/>
          </w:tcPr>
          <w:p w14:paraId="3D5F287D" w14:textId="77777777" w:rsidR="004E4757" w:rsidRDefault="004E4757" w:rsidP="002D1811">
            <w:pPr>
              <w:jc w:val="center"/>
            </w:pPr>
            <w:r>
              <w:t>4</w:t>
            </w:r>
          </w:p>
        </w:tc>
        <w:tc>
          <w:tcPr>
            <w:tcW w:w="1374" w:type="dxa"/>
            <w:tcBorders>
              <w:right w:val="single" w:sz="12" w:space="0" w:color="auto"/>
            </w:tcBorders>
            <w:shd w:val="clear" w:color="auto" w:fill="auto"/>
            <w:vAlign w:val="center"/>
          </w:tcPr>
          <w:p w14:paraId="06A10C8B" w14:textId="77777777" w:rsidR="004E4757" w:rsidRDefault="004E4757" w:rsidP="002D1811">
            <w:pPr>
              <w:jc w:val="center"/>
            </w:pPr>
            <w:r w:rsidRPr="00193994">
              <w:sym w:font="Wingdings" w:char="F0E8"/>
            </w:r>
          </w:p>
        </w:tc>
      </w:tr>
      <w:tr w:rsidR="004E4757" w14:paraId="3D3F50AE" w14:textId="77777777" w:rsidTr="00F2099E">
        <w:tc>
          <w:tcPr>
            <w:tcW w:w="5708" w:type="dxa"/>
            <w:tcBorders>
              <w:left w:val="single" w:sz="12" w:space="0" w:color="auto"/>
            </w:tcBorders>
            <w:shd w:val="clear" w:color="auto" w:fill="auto"/>
          </w:tcPr>
          <w:p w14:paraId="1272F0C9" w14:textId="77777777" w:rsidR="004E4757" w:rsidRDefault="004E4757" w:rsidP="002D1811">
            <w:r>
              <w:t>Partnerschappen</w:t>
            </w:r>
          </w:p>
        </w:tc>
        <w:tc>
          <w:tcPr>
            <w:tcW w:w="841" w:type="dxa"/>
            <w:shd w:val="clear" w:color="auto" w:fill="auto"/>
            <w:vAlign w:val="center"/>
          </w:tcPr>
          <w:p w14:paraId="5E8C1467" w14:textId="77777777" w:rsidR="004E4757" w:rsidRDefault="004E4757" w:rsidP="002D1811">
            <w:pPr>
              <w:jc w:val="center"/>
            </w:pPr>
            <w:r>
              <w:t>4</w:t>
            </w:r>
          </w:p>
        </w:tc>
        <w:tc>
          <w:tcPr>
            <w:tcW w:w="1374" w:type="dxa"/>
            <w:tcBorders>
              <w:right w:val="single" w:sz="12" w:space="0" w:color="auto"/>
            </w:tcBorders>
            <w:shd w:val="clear" w:color="auto" w:fill="auto"/>
            <w:vAlign w:val="center"/>
          </w:tcPr>
          <w:p w14:paraId="3EF7A344" w14:textId="77777777" w:rsidR="004E4757" w:rsidRDefault="004E4757" w:rsidP="002D1811">
            <w:pPr>
              <w:jc w:val="center"/>
            </w:pPr>
            <w:r w:rsidRPr="00193994">
              <w:sym w:font="Wingdings" w:char="F0E8"/>
            </w:r>
          </w:p>
        </w:tc>
      </w:tr>
      <w:tr w:rsidR="004E4757" w14:paraId="7D3881C9" w14:textId="77777777" w:rsidTr="00F2099E">
        <w:tc>
          <w:tcPr>
            <w:tcW w:w="5708" w:type="dxa"/>
            <w:tcBorders>
              <w:left w:val="single" w:sz="12" w:space="0" w:color="auto"/>
            </w:tcBorders>
            <w:shd w:val="clear" w:color="auto" w:fill="auto"/>
          </w:tcPr>
          <w:p w14:paraId="41272FED" w14:textId="77777777" w:rsidR="004E4757" w:rsidRPr="00C26035" w:rsidRDefault="004E4757" w:rsidP="002D1811">
            <w:r>
              <w:t>Operationeel management</w:t>
            </w:r>
          </w:p>
        </w:tc>
        <w:tc>
          <w:tcPr>
            <w:tcW w:w="841" w:type="dxa"/>
            <w:shd w:val="clear" w:color="auto" w:fill="auto"/>
            <w:vAlign w:val="center"/>
          </w:tcPr>
          <w:p w14:paraId="17666447" w14:textId="77777777" w:rsidR="004E4757" w:rsidRDefault="004E4757" w:rsidP="002D1811">
            <w:pPr>
              <w:jc w:val="center"/>
            </w:pPr>
            <w:r>
              <w:t>3</w:t>
            </w:r>
          </w:p>
        </w:tc>
        <w:tc>
          <w:tcPr>
            <w:tcW w:w="1374" w:type="dxa"/>
            <w:tcBorders>
              <w:right w:val="single" w:sz="12" w:space="0" w:color="auto"/>
            </w:tcBorders>
            <w:shd w:val="clear" w:color="auto" w:fill="auto"/>
            <w:vAlign w:val="center"/>
          </w:tcPr>
          <w:p w14:paraId="4E21AEB7" w14:textId="77777777" w:rsidR="004E4757" w:rsidRDefault="004E4757" w:rsidP="002D1811">
            <w:pPr>
              <w:jc w:val="center"/>
            </w:pPr>
            <w:r w:rsidRPr="00193994">
              <w:sym w:font="Wingdings" w:char="F0E9"/>
            </w:r>
          </w:p>
        </w:tc>
      </w:tr>
      <w:tr w:rsidR="004E4757" w14:paraId="2E6B132F" w14:textId="77777777" w:rsidTr="00F2099E">
        <w:tc>
          <w:tcPr>
            <w:tcW w:w="5708" w:type="dxa"/>
            <w:tcBorders>
              <w:left w:val="single" w:sz="12" w:space="0" w:color="auto"/>
            </w:tcBorders>
            <w:shd w:val="clear" w:color="auto" w:fill="auto"/>
          </w:tcPr>
          <w:p w14:paraId="2838E55A" w14:textId="77777777" w:rsidR="004E4757" w:rsidRPr="00C26035" w:rsidRDefault="004E4757" w:rsidP="002D1811">
            <w:r>
              <w:t>Beleidsevaluatie</w:t>
            </w:r>
          </w:p>
        </w:tc>
        <w:tc>
          <w:tcPr>
            <w:tcW w:w="841" w:type="dxa"/>
            <w:shd w:val="clear" w:color="auto" w:fill="auto"/>
            <w:vAlign w:val="center"/>
          </w:tcPr>
          <w:p w14:paraId="29C377F3" w14:textId="77777777" w:rsidR="004E4757" w:rsidRDefault="004E4757" w:rsidP="002D1811">
            <w:pPr>
              <w:jc w:val="center"/>
            </w:pPr>
            <w:r>
              <w:t>4</w:t>
            </w:r>
          </w:p>
        </w:tc>
        <w:tc>
          <w:tcPr>
            <w:tcW w:w="1374" w:type="dxa"/>
            <w:tcBorders>
              <w:right w:val="single" w:sz="12" w:space="0" w:color="auto"/>
            </w:tcBorders>
            <w:shd w:val="clear" w:color="auto" w:fill="auto"/>
            <w:vAlign w:val="center"/>
          </w:tcPr>
          <w:p w14:paraId="4ADD7F57" w14:textId="77777777" w:rsidR="004E4757" w:rsidRDefault="004E4757" w:rsidP="002D1811">
            <w:pPr>
              <w:jc w:val="center"/>
            </w:pPr>
            <w:r w:rsidRPr="00193994">
              <w:sym w:font="Wingdings" w:char="F0E9"/>
            </w:r>
          </w:p>
        </w:tc>
      </w:tr>
      <w:tr w:rsidR="004E4757" w14:paraId="569112A3" w14:textId="77777777" w:rsidTr="00F2099E">
        <w:tc>
          <w:tcPr>
            <w:tcW w:w="5708" w:type="dxa"/>
            <w:tcBorders>
              <w:left w:val="single" w:sz="12" w:space="0" w:color="auto"/>
            </w:tcBorders>
            <w:shd w:val="clear" w:color="auto" w:fill="auto"/>
          </w:tcPr>
          <w:p w14:paraId="0F6F17CC" w14:textId="77777777" w:rsidR="004E4757" w:rsidRPr="00C26035" w:rsidRDefault="004E4757" w:rsidP="002D1811">
            <w:r w:rsidRPr="00C26035">
              <w:t>Human Resource Management</w:t>
            </w:r>
          </w:p>
        </w:tc>
        <w:tc>
          <w:tcPr>
            <w:tcW w:w="841" w:type="dxa"/>
            <w:shd w:val="clear" w:color="auto" w:fill="auto"/>
            <w:vAlign w:val="center"/>
          </w:tcPr>
          <w:p w14:paraId="33F0AE4C" w14:textId="77777777" w:rsidR="004E4757" w:rsidRDefault="004E4757" w:rsidP="002D1811">
            <w:pPr>
              <w:jc w:val="center"/>
            </w:pPr>
            <w:r>
              <w:t>4</w:t>
            </w:r>
          </w:p>
        </w:tc>
        <w:tc>
          <w:tcPr>
            <w:tcW w:w="1374" w:type="dxa"/>
            <w:tcBorders>
              <w:right w:val="single" w:sz="12" w:space="0" w:color="auto"/>
            </w:tcBorders>
            <w:shd w:val="clear" w:color="auto" w:fill="auto"/>
            <w:vAlign w:val="center"/>
          </w:tcPr>
          <w:p w14:paraId="335B7480" w14:textId="77777777" w:rsidR="004E4757" w:rsidRDefault="004E4757" w:rsidP="002D1811">
            <w:pPr>
              <w:jc w:val="center"/>
            </w:pPr>
            <w:r w:rsidRPr="00193994">
              <w:sym w:font="Wingdings" w:char="F0E9"/>
            </w:r>
          </w:p>
        </w:tc>
      </w:tr>
      <w:tr w:rsidR="004E4757" w14:paraId="577057A4" w14:textId="77777777" w:rsidTr="00F2099E">
        <w:tc>
          <w:tcPr>
            <w:tcW w:w="5708" w:type="dxa"/>
            <w:tcBorders>
              <w:left w:val="single" w:sz="12" w:space="0" w:color="auto"/>
            </w:tcBorders>
            <w:shd w:val="clear" w:color="auto" w:fill="auto"/>
          </w:tcPr>
          <w:p w14:paraId="031DB7B0" w14:textId="77777777" w:rsidR="004E4757" w:rsidRPr="00445FEE" w:rsidRDefault="004E4757" w:rsidP="002D1811">
            <w:r w:rsidRPr="00445FEE">
              <w:t xml:space="preserve">Financiële </w:t>
            </w:r>
            <w:r>
              <w:t>stabiliteit</w:t>
            </w:r>
          </w:p>
        </w:tc>
        <w:tc>
          <w:tcPr>
            <w:tcW w:w="841" w:type="dxa"/>
            <w:shd w:val="clear" w:color="auto" w:fill="auto"/>
            <w:vAlign w:val="center"/>
          </w:tcPr>
          <w:p w14:paraId="261C9BC1" w14:textId="77777777" w:rsidR="004E4757" w:rsidRDefault="004E4757" w:rsidP="002D1811">
            <w:pPr>
              <w:jc w:val="center"/>
            </w:pPr>
            <w:r>
              <w:t>4</w:t>
            </w:r>
          </w:p>
        </w:tc>
        <w:tc>
          <w:tcPr>
            <w:tcW w:w="1374" w:type="dxa"/>
            <w:tcBorders>
              <w:right w:val="single" w:sz="12" w:space="0" w:color="auto"/>
            </w:tcBorders>
            <w:shd w:val="clear" w:color="auto" w:fill="auto"/>
            <w:vAlign w:val="center"/>
          </w:tcPr>
          <w:p w14:paraId="328FF32A" w14:textId="77777777" w:rsidR="004E4757" w:rsidRDefault="004E4757" w:rsidP="002D1811">
            <w:pPr>
              <w:jc w:val="center"/>
            </w:pPr>
            <w:r w:rsidRPr="00193994">
              <w:sym w:font="Wingdings" w:char="F0E8"/>
            </w:r>
          </w:p>
        </w:tc>
      </w:tr>
      <w:tr w:rsidR="004E4757" w14:paraId="7CC30AB0" w14:textId="77777777" w:rsidTr="00F2099E">
        <w:tc>
          <w:tcPr>
            <w:tcW w:w="5708" w:type="dxa"/>
            <w:tcBorders>
              <w:left w:val="single" w:sz="12" w:space="0" w:color="auto"/>
            </w:tcBorders>
            <w:shd w:val="clear" w:color="auto" w:fill="auto"/>
          </w:tcPr>
          <w:p w14:paraId="0777F55B" w14:textId="2EF7E27E" w:rsidR="004E4757" w:rsidRPr="00445FEE" w:rsidRDefault="004E4757" w:rsidP="00C251F6">
            <w:r>
              <w:t>Kosten</w:t>
            </w:r>
            <w:r w:rsidR="00C251F6">
              <w:t>reductie</w:t>
            </w:r>
          </w:p>
        </w:tc>
        <w:tc>
          <w:tcPr>
            <w:tcW w:w="841" w:type="dxa"/>
            <w:shd w:val="clear" w:color="auto" w:fill="auto"/>
            <w:vAlign w:val="center"/>
          </w:tcPr>
          <w:p w14:paraId="200C58BC" w14:textId="77777777" w:rsidR="004E4757" w:rsidRDefault="004E4757" w:rsidP="002D1811">
            <w:pPr>
              <w:jc w:val="center"/>
            </w:pPr>
            <w:r>
              <w:t>3</w:t>
            </w:r>
          </w:p>
        </w:tc>
        <w:tc>
          <w:tcPr>
            <w:tcW w:w="1374" w:type="dxa"/>
            <w:tcBorders>
              <w:right w:val="single" w:sz="12" w:space="0" w:color="auto"/>
            </w:tcBorders>
            <w:shd w:val="clear" w:color="auto" w:fill="auto"/>
            <w:vAlign w:val="center"/>
          </w:tcPr>
          <w:p w14:paraId="14B4F260" w14:textId="77777777" w:rsidR="004E4757" w:rsidRDefault="004E4757" w:rsidP="002D1811">
            <w:pPr>
              <w:jc w:val="center"/>
            </w:pPr>
            <w:r w:rsidRPr="00193994">
              <w:sym w:font="Wingdings" w:char="F0E9"/>
            </w:r>
          </w:p>
        </w:tc>
      </w:tr>
      <w:tr w:rsidR="004E4757" w14:paraId="3071716A" w14:textId="77777777" w:rsidTr="00F2099E">
        <w:tc>
          <w:tcPr>
            <w:tcW w:w="5708" w:type="dxa"/>
            <w:tcBorders>
              <w:left w:val="single" w:sz="12" w:space="0" w:color="auto"/>
              <w:bottom w:val="single" w:sz="12" w:space="0" w:color="auto"/>
            </w:tcBorders>
            <w:shd w:val="clear" w:color="auto" w:fill="auto"/>
          </w:tcPr>
          <w:p w14:paraId="394D5A73" w14:textId="77777777" w:rsidR="004E4757" w:rsidRPr="00445FEE" w:rsidRDefault="004E4757" w:rsidP="002D1811">
            <w:r w:rsidRPr="00445FEE">
              <w:t xml:space="preserve">Corruptiebestrijding </w:t>
            </w:r>
            <w:r>
              <w:t>en accountability</w:t>
            </w:r>
          </w:p>
        </w:tc>
        <w:tc>
          <w:tcPr>
            <w:tcW w:w="841" w:type="dxa"/>
            <w:tcBorders>
              <w:bottom w:val="single" w:sz="12" w:space="0" w:color="auto"/>
            </w:tcBorders>
            <w:shd w:val="clear" w:color="auto" w:fill="auto"/>
            <w:vAlign w:val="center"/>
          </w:tcPr>
          <w:p w14:paraId="6793C956" w14:textId="77777777" w:rsidR="004E4757" w:rsidRDefault="004E4757" w:rsidP="002D1811">
            <w:pPr>
              <w:jc w:val="center"/>
            </w:pPr>
            <w:r>
              <w:t>4</w:t>
            </w:r>
          </w:p>
        </w:tc>
        <w:tc>
          <w:tcPr>
            <w:tcW w:w="1374" w:type="dxa"/>
            <w:tcBorders>
              <w:bottom w:val="single" w:sz="12" w:space="0" w:color="auto"/>
              <w:right w:val="single" w:sz="12" w:space="0" w:color="auto"/>
            </w:tcBorders>
            <w:shd w:val="clear" w:color="auto" w:fill="auto"/>
            <w:vAlign w:val="center"/>
          </w:tcPr>
          <w:p w14:paraId="2B9FE719" w14:textId="77777777" w:rsidR="004E4757" w:rsidRDefault="004E4757" w:rsidP="002D1811">
            <w:pPr>
              <w:jc w:val="center"/>
            </w:pPr>
            <w:r w:rsidRPr="00193994">
              <w:sym w:font="Wingdings" w:char="F0E8"/>
            </w:r>
          </w:p>
        </w:tc>
      </w:tr>
    </w:tbl>
    <w:p w14:paraId="0B18C65A" w14:textId="77777777" w:rsidR="004E4757" w:rsidRDefault="004E4757" w:rsidP="004E4757"/>
    <w:p w14:paraId="3978D4BB" w14:textId="77777777" w:rsidR="002D1811" w:rsidRPr="00193994" w:rsidRDefault="002D1811" w:rsidP="002D1811">
      <w:pPr>
        <w:ind w:firstLine="227"/>
      </w:pPr>
      <w:r w:rsidRPr="00193994">
        <w:t xml:space="preserve">Beoordeling: </w:t>
      </w:r>
      <w:r>
        <w:t>Onvoldoende = 1, Matig = 2, Voldoende = 3, Goed</w:t>
      </w:r>
      <w:r w:rsidRPr="00193994">
        <w:t xml:space="preserve"> = 4</w:t>
      </w:r>
    </w:p>
    <w:p w14:paraId="600B816E" w14:textId="436121C9" w:rsidR="002D1811" w:rsidRDefault="002D1811" w:rsidP="002D1811">
      <w:pPr>
        <w:ind w:firstLine="227"/>
        <w:rPr>
          <w:rFonts w:ascii="Segoe UI Emoji" w:eastAsia="Segoe UI Emoji" w:hAnsi="Segoe UI Emoji" w:cs="Segoe UI Emoji"/>
          <w:b/>
          <w:noProof/>
        </w:rPr>
      </w:pPr>
      <w:r w:rsidRPr="00193994">
        <w:t>Ver</w:t>
      </w:r>
      <w:r>
        <w:t>andering sinds 2015: Neutraal</w:t>
      </w:r>
      <w:r w:rsidRPr="00193994">
        <w:t xml:space="preserve"> = </w:t>
      </w:r>
      <w:r w:rsidRPr="00193994">
        <w:sym w:font="Wingdings" w:char="F0E8"/>
      </w:r>
      <w:r>
        <w:t xml:space="preserve">, Positief = </w:t>
      </w:r>
      <w:r w:rsidRPr="00193994">
        <w:sym w:font="Wingdings" w:char="F0E9"/>
      </w:r>
      <w:r>
        <w:t xml:space="preserve">, Negatief = </w:t>
      </w:r>
      <w:r w:rsidRPr="00DC2083">
        <w:rPr>
          <w:rFonts w:ascii="Segoe UI Emoji" w:eastAsia="Segoe UI Emoji" w:hAnsi="Segoe UI Emoji" w:cs="Segoe UI Emoji"/>
          <w:b/>
          <w:noProof/>
        </w:rPr>
        <w:sym w:font="Wingdings" w:char="F0EA"/>
      </w:r>
    </w:p>
    <w:p w14:paraId="005A012D" w14:textId="77777777" w:rsidR="001E2549" w:rsidRPr="00164384" w:rsidRDefault="001E2549" w:rsidP="002D1811">
      <w:pPr>
        <w:ind w:firstLine="227"/>
      </w:pPr>
    </w:p>
    <w:p w14:paraId="507E322D" w14:textId="092A9E86" w:rsidR="004E4757" w:rsidRDefault="004E4757" w:rsidP="004E4757">
      <w:pPr>
        <w:pStyle w:val="Heading2"/>
        <w:tabs>
          <w:tab w:val="left" w:pos="-1162"/>
          <w:tab w:val="left" w:pos="0"/>
          <w:tab w:val="num" w:pos="1160"/>
        </w:tabs>
        <w:spacing w:line="240" w:lineRule="auto"/>
        <w:ind w:hanging="1162"/>
      </w:pPr>
      <w:bookmarkStart w:id="23" w:name="_Toc484612340"/>
      <w:bookmarkStart w:id="24" w:name="_Toc491439905"/>
      <w:r>
        <w:t xml:space="preserve">1.2 </w:t>
      </w:r>
      <w:r>
        <w:tab/>
        <w:t>Beleidsrelevantie</w:t>
      </w:r>
      <w:bookmarkEnd w:id="23"/>
      <w:bookmarkEnd w:id="24"/>
    </w:p>
    <w:p w14:paraId="7FA3C335" w14:textId="3D303F65" w:rsidR="00C6316C" w:rsidRDefault="00C6316C" w:rsidP="00C6316C">
      <w:r w:rsidRPr="002F2769">
        <w:t>Voor Nederland is de WBG een belangrijke ontwikkelingspartner. Als aandeelhouder en invloedrijke donor is Nederland in staat geweest om de afgelopen jaren sterke convergentie te bewerkstellingen tussen het Nederlandse BHOS-beleid en de prioriteiten van de WBG.</w:t>
      </w:r>
      <w:r>
        <w:t xml:space="preserve"> </w:t>
      </w:r>
      <w:r w:rsidRPr="00472820">
        <w:t xml:space="preserve">De brede inzet van Nederland via de WBG sluit nauw aan op de Nederlandse agenda voor hulp en handel. </w:t>
      </w:r>
      <w:r w:rsidRPr="0077045A">
        <w:t>De Nederlandse bijdragen via het aandeelhoudersk</w:t>
      </w:r>
      <w:r>
        <w:t xml:space="preserve">apitaal, de IDA middelenaanvullingen en </w:t>
      </w:r>
      <w:r w:rsidRPr="00732698">
        <w:rPr>
          <w:i/>
        </w:rPr>
        <w:t>Trust Funds</w:t>
      </w:r>
      <w:r w:rsidRPr="0077045A">
        <w:t xml:space="preserve"> worden door de Bank verveelvoudigd, waardoor de uiteindelijke impact langs multilaterale weg vele malen groter uitpakt dan bilateraal mogelijk zou zijn. De Wereldbank blijft de belangrijkste en grootste speler op het gebied van ontwikkeling en daarmee onmisbaar voor het </w:t>
      </w:r>
      <w:r>
        <w:t>BH</w:t>
      </w:r>
      <w:r w:rsidRPr="0077045A">
        <w:t>OS-beleid van Nederland.</w:t>
      </w:r>
    </w:p>
    <w:p w14:paraId="0CA119D8" w14:textId="7FFE7494" w:rsidR="00CB1A14" w:rsidRDefault="00CB1A14" w:rsidP="004E4757"/>
    <w:p w14:paraId="5FCB5E08" w14:textId="23F8D69F" w:rsidR="00CB1A14" w:rsidRDefault="00CB1A14" w:rsidP="004E4757"/>
    <w:p w14:paraId="1C4E54C0" w14:textId="1E697ED0" w:rsidR="00CB1A14" w:rsidRDefault="00CB1A14" w:rsidP="004E4757"/>
    <w:p w14:paraId="5032AFAD" w14:textId="328EDAD9" w:rsidR="00CB1A14" w:rsidRDefault="00CB1A14" w:rsidP="004E4757"/>
    <w:p w14:paraId="2D6E8C8D" w14:textId="2F214DFC" w:rsidR="00CB1A14" w:rsidRDefault="00CB1A14" w:rsidP="004E4757"/>
    <w:p w14:paraId="2BB990D8" w14:textId="6A4B2688" w:rsidR="00CB1A14" w:rsidRDefault="00CB1A14" w:rsidP="004E4757"/>
    <w:p w14:paraId="60121874" w14:textId="0A1AFAA3" w:rsidR="00CB1A14" w:rsidRDefault="00CB1A14" w:rsidP="004E4757"/>
    <w:p w14:paraId="480E0353" w14:textId="2C888626" w:rsidR="00CB1A14" w:rsidRDefault="00CB1A14" w:rsidP="004E4757"/>
    <w:p w14:paraId="0C8F3D52" w14:textId="3C95E17A" w:rsidR="00CB1A14" w:rsidRDefault="00CB1A14" w:rsidP="004E4757"/>
    <w:p w14:paraId="5CF7E560" w14:textId="77777777" w:rsidR="00CB1A14" w:rsidRDefault="00CB1A14" w:rsidP="004E47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897"/>
        <w:gridCol w:w="1925"/>
        <w:gridCol w:w="1891"/>
      </w:tblGrid>
      <w:tr w:rsidR="004E4757" w14:paraId="1C2823DC" w14:textId="77777777" w:rsidTr="00F2099E">
        <w:tc>
          <w:tcPr>
            <w:tcW w:w="1969" w:type="dxa"/>
            <w:tcBorders>
              <w:top w:val="single" w:sz="12" w:space="0" w:color="auto"/>
              <w:left w:val="single" w:sz="12" w:space="0" w:color="auto"/>
              <w:bottom w:val="single" w:sz="12" w:space="0" w:color="auto"/>
            </w:tcBorders>
            <w:shd w:val="clear" w:color="auto" w:fill="BFBFBF" w:themeFill="background1" w:themeFillShade="BF"/>
          </w:tcPr>
          <w:p w14:paraId="07652A3B" w14:textId="77777777" w:rsidR="004E4757" w:rsidRDefault="004E4757" w:rsidP="002D1811">
            <w:pPr>
              <w:jc w:val="right"/>
            </w:pPr>
          </w:p>
        </w:tc>
        <w:tc>
          <w:tcPr>
            <w:tcW w:w="1903" w:type="dxa"/>
            <w:tcBorders>
              <w:top w:val="single" w:sz="12" w:space="0" w:color="auto"/>
              <w:bottom w:val="single" w:sz="12" w:space="0" w:color="auto"/>
            </w:tcBorders>
            <w:shd w:val="clear" w:color="auto" w:fill="BFBFBF" w:themeFill="background1" w:themeFillShade="BF"/>
          </w:tcPr>
          <w:p w14:paraId="4F11D899" w14:textId="77777777" w:rsidR="004E4757" w:rsidRPr="00D94DB4" w:rsidRDefault="004E4757" w:rsidP="002D1811">
            <w:pPr>
              <w:rPr>
                <w:b/>
              </w:rPr>
            </w:pPr>
            <w:r w:rsidRPr="00D94DB4">
              <w:rPr>
                <w:b/>
              </w:rPr>
              <w:t>Uitvoerend</w:t>
            </w:r>
          </w:p>
        </w:tc>
        <w:tc>
          <w:tcPr>
            <w:tcW w:w="1928" w:type="dxa"/>
            <w:tcBorders>
              <w:top w:val="single" w:sz="12" w:space="0" w:color="auto"/>
              <w:bottom w:val="single" w:sz="12" w:space="0" w:color="auto"/>
            </w:tcBorders>
            <w:shd w:val="clear" w:color="auto" w:fill="BFBFBF" w:themeFill="background1" w:themeFillShade="BF"/>
          </w:tcPr>
          <w:p w14:paraId="7AAF4423" w14:textId="77777777" w:rsidR="004E4757" w:rsidRPr="00D94DB4" w:rsidRDefault="004E4757" w:rsidP="002D1811">
            <w:pPr>
              <w:rPr>
                <w:b/>
              </w:rPr>
            </w:pPr>
            <w:r w:rsidRPr="00D94DB4">
              <w:rPr>
                <w:b/>
              </w:rPr>
              <w:t>Coördinerend</w:t>
            </w:r>
          </w:p>
        </w:tc>
        <w:tc>
          <w:tcPr>
            <w:tcW w:w="1897" w:type="dxa"/>
            <w:tcBorders>
              <w:top w:val="single" w:sz="12" w:space="0" w:color="auto"/>
              <w:bottom w:val="single" w:sz="12" w:space="0" w:color="auto"/>
              <w:right w:val="single" w:sz="12" w:space="0" w:color="auto"/>
            </w:tcBorders>
            <w:shd w:val="clear" w:color="auto" w:fill="BFBFBF" w:themeFill="background1" w:themeFillShade="BF"/>
          </w:tcPr>
          <w:p w14:paraId="30D5FBC3" w14:textId="77777777" w:rsidR="004E4757" w:rsidRPr="00D94DB4" w:rsidRDefault="004E4757" w:rsidP="002D1811">
            <w:pPr>
              <w:rPr>
                <w:b/>
              </w:rPr>
            </w:pPr>
            <w:r w:rsidRPr="00D94DB4">
              <w:rPr>
                <w:b/>
              </w:rPr>
              <w:t>Normatief</w:t>
            </w:r>
          </w:p>
        </w:tc>
      </w:tr>
      <w:tr w:rsidR="004E4757" w14:paraId="000BC34D" w14:textId="77777777" w:rsidTr="00F2099E">
        <w:tc>
          <w:tcPr>
            <w:tcW w:w="769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1F46F402" w14:textId="5CC6069D" w:rsidR="004E4757" w:rsidRPr="00D94DB4" w:rsidRDefault="004E4757" w:rsidP="002D1811">
            <w:pPr>
              <w:rPr>
                <w:b/>
              </w:rPr>
            </w:pPr>
            <w:r>
              <w:rPr>
                <w:b/>
              </w:rPr>
              <w:t>Relevantie voor de Nederlandse BHOS-prioriteiten</w:t>
            </w:r>
          </w:p>
        </w:tc>
      </w:tr>
      <w:tr w:rsidR="004E4757" w14:paraId="07E6E76C" w14:textId="77777777" w:rsidTr="00BC3A3B">
        <w:tc>
          <w:tcPr>
            <w:tcW w:w="1969" w:type="dxa"/>
            <w:tcBorders>
              <w:top w:val="single" w:sz="12" w:space="0" w:color="auto"/>
              <w:left w:val="single" w:sz="12" w:space="0" w:color="auto"/>
            </w:tcBorders>
            <w:shd w:val="clear" w:color="auto" w:fill="auto"/>
          </w:tcPr>
          <w:p w14:paraId="5E501AE4" w14:textId="04C60EBC" w:rsidR="00887CD1" w:rsidRDefault="004E4757" w:rsidP="002D1811">
            <w:r>
              <w:t>Voedselzekerheid</w:t>
            </w:r>
          </w:p>
        </w:tc>
        <w:tc>
          <w:tcPr>
            <w:tcW w:w="1903" w:type="dxa"/>
            <w:tcBorders>
              <w:top w:val="single" w:sz="12" w:space="0" w:color="auto"/>
            </w:tcBorders>
            <w:shd w:val="clear" w:color="auto" w:fill="auto"/>
          </w:tcPr>
          <w:p w14:paraId="42248654" w14:textId="24F5DD6C" w:rsidR="004E4757" w:rsidRDefault="00FC4924" w:rsidP="00EE6277">
            <w:pPr>
              <w:jc w:val="center"/>
            </w:pPr>
            <w:r>
              <w:t>4</w:t>
            </w:r>
          </w:p>
        </w:tc>
        <w:tc>
          <w:tcPr>
            <w:tcW w:w="1928" w:type="dxa"/>
            <w:tcBorders>
              <w:top w:val="single" w:sz="12" w:space="0" w:color="auto"/>
            </w:tcBorders>
            <w:shd w:val="clear" w:color="auto" w:fill="auto"/>
          </w:tcPr>
          <w:p w14:paraId="0E422267" w14:textId="77777777" w:rsidR="004E4757" w:rsidRDefault="004E4757" w:rsidP="00EE6277">
            <w:pPr>
              <w:jc w:val="center"/>
            </w:pPr>
            <w:r>
              <w:t>3</w:t>
            </w:r>
          </w:p>
        </w:tc>
        <w:tc>
          <w:tcPr>
            <w:tcW w:w="1897" w:type="dxa"/>
            <w:tcBorders>
              <w:top w:val="single" w:sz="12" w:space="0" w:color="auto"/>
              <w:right w:val="single" w:sz="12" w:space="0" w:color="auto"/>
            </w:tcBorders>
            <w:shd w:val="clear" w:color="auto" w:fill="auto"/>
          </w:tcPr>
          <w:p w14:paraId="1A2E93C0" w14:textId="3491AF28" w:rsidR="004E4757" w:rsidRDefault="00FC4924" w:rsidP="00EE6277">
            <w:pPr>
              <w:jc w:val="center"/>
            </w:pPr>
            <w:r>
              <w:t>4</w:t>
            </w:r>
          </w:p>
        </w:tc>
      </w:tr>
      <w:tr w:rsidR="004E4757" w14:paraId="028939B9" w14:textId="77777777" w:rsidTr="00BC3A3B">
        <w:tc>
          <w:tcPr>
            <w:tcW w:w="1969" w:type="dxa"/>
            <w:tcBorders>
              <w:left w:val="single" w:sz="12" w:space="0" w:color="auto"/>
            </w:tcBorders>
            <w:shd w:val="clear" w:color="auto" w:fill="auto"/>
          </w:tcPr>
          <w:p w14:paraId="4048D654" w14:textId="350324F2" w:rsidR="00887CD1" w:rsidRDefault="004E4757" w:rsidP="002D1811">
            <w:r>
              <w:t>Water</w:t>
            </w:r>
          </w:p>
        </w:tc>
        <w:tc>
          <w:tcPr>
            <w:tcW w:w="1903" w:type="dxa"/>
            <w:shd w:val="clear" w:color="auto" w:fill="auto"/>
          </w:tcPr>
          <w:p w14:paraId="455321EB" w14:textId="0AF8CAAC" w:rsidR="004E4757" w:rsidRDefault="00FC4924" w:rsidP="00EE6277">
            <w:pPr>
              <w:jc w:val="center"/>
            </w:pPr>
            <w:r>
              <w:t>4</w:t>
            </w:r>
          </w:p>
        </w:tc>
        <w:tc>
          <w:tcPr>
            <w:tcW w:w="1928" w:type="dxa"/>
            <w:shd w:val="clear" w:color="auto" w:fill="auto"/>
          </w:tcPr>
          <w:p w14:paraId="21490033" w14:textId="77777777" w:rsidR="004E4757" w:rsidRDefault="004E4757" w:rsidP="00EE6277">
            <w:pPr>
              <w:jc w:val="center"/>
            </w:pPr>
            <w:r>
              <w:t>3</w:t>
            </w:r>
          </w:p>
        </w:tc>
        <w:tc>
          <w:tcPr>
            <w:tcW w:w="1897" w:type="dxa"/>
            <w:tcBorders>
              <w:right w:val="single" w:sz="12" w:space="0" w:color="auto"/>
            </w:tcBorders>
            <w:shd w:val="clear" w:color="auto" w:fill="auto"/>
          </w:tcPr>
          <w:p w14:paraId="0899777A" w14:textId="54CFAA6A" w:rsidR="004E4757" w:rsidRDefault="00FC4924" w:rsidP="00EE6277">
            <w:pPr>
              <w:jc w:val="center"/>
            </w:pPr>
            <w:r>
              <w:t>4</w:t>
            </w:r>
          </w:p>
        </w:tc>
      </w:tr>
      <w:tr w:rsidR="004E4757" w14:paraId="4B4EADA6" w14:textId="77777777" w:rsidTr="00BC3A3B">
        <w:tc>
          <w:tcPr>
            <w:tcW w:w="1969" w:type="dxa"/>
            <w:tcBorders>
              <w:left w:val="single" w:sz="12" w:space="0" w:color="auto"/>
            </w:tcBorders>
            <w:shd w:val="clear" w:color="auto" w:fill="auto"/>
          </w:tcPr>
          <w:p w14:paraId="65781CBC" w14:textId="77777777" w:rsidR="004E4757" w:rsidRDefault="004E4757" w:rsidP="002D1811">
            <w:r>
              <w:t>Veiligheid en rechtsorde</w:t>
            </w:r>
          </w:p>
        </w:tc>
        <w:tc>
          <w:tcPr>
            <w:tcW w:w="1903" w:type="dxa"/>
            <w:shd w:val="clear" w:color="auto" w:fill="auto"/>
          </w:tcPr>
          <w:p w14:paraId="4BF350C9" w14:textId="5B01E1D8" w:rsidR="004E4757" w:rsidRDefault="00FC4924" w:rsidP="00EE6277">
            <w:pPr>
              <w:jc w:val="center"/>
            </w:pPr>
            <w:r>
              <w:t>4</w:t>
            </w:r>
          </w:p>
        </w:tc>
        <w:tc>
          <w:tcPr>
            <w:tcW w:w="1928" w:type="dxa"/>
            <w:shd w:val="clear" w:color="auto" w:fill="auto"/>
          </w:tcPr>
          <w:p w14:paraId="506EFC7F" w14:textId="03D0ADEB" w:rsidR="004E4757" w:rsidRDefault="004E4757" w:rsidP="00EE6277">
            <w:pPr>
              <w:jc w:val="center"/>
            </w:pPr>
          </w:p>
        </w:tc>
        <w:tc>
          <w:tcPr>
            <w:tcW w:w="1897" w:type="dxa"/>
            <w:tcBorders>
              <w:right w:val="single" w:sz="12" w:space="0" w:color="auto"/>
            </w:tcBorders>
            <w:shd w:val="clear" w:color="auto" w:fill="auto"/>
          </w:tcPr>
          <w:p w14:paraId="4CD966EF" w14:textId="77777777" w:rsidR="004E4757" w:rsidRDefault="004E4757" w:rsidP="00EE6277">
            <w:pPr>
              <w:jc w:val="center"/>
            </w:pPr>
            <w:r>
              <w:t>3</w:t>
            </w:r>
          </w:p>
        </w:tc>
      </w:tr>
      <w:tr w:rsidR="004E4757" w14:paraId="7FAD5723" w14:textId="77777777" w:rsidTr="00BC3A3B">
        <w:tc>
          <w:tcPr>
            <w:tcW w:w="1969" w:type="dxa"/>
            <w:tcBorders>
              <w:left w:val="single" w:sz="12" w:space="0" w:color="auto"/>
            </w:tcBorders>
            <w:shd w:val="clear" w:color="auto" w:fill="auto"/>
          </w:tcPr>
          <w:p w14:paraId="24689671" w14:textId="387C3903" w:rsidR="00887CD1" w:rsidRDefault="004E4757" w:rsidP="002D1811">
            <w:r>
              <w:t>SRGR</w:t>
            </w:r>
          </w:p>
        </w:tc>
        <w:tc>
          <w:tcPr>
            <w:tcW w:w="1903" w:type="dxa"/>
            <w:shd w:val="clear" w:color="auto" w:fill="auto"/>
          </w:tcPr>
          <w:p w14:paraId="5B603E6C" w14:textId="77777777" w:rsidR="004E4757" w:rsidRDefault="004E4757" w:rsidP="00EE6277">
            <w:pPr>
              <w:jc w:val="center"/>
            </w:pPr>
            <w:r>
              <w:t>3</w:t>
            </w:r>
          </w:p>
        </w:tc>
        <w:tc>
          <w:tcPr>
            <w:tcW w:w="1928" w:type="dxa"/>
            <w:shd w:val="clear" w:color="auto" w:fill="auto"/>
          </w:tcPr>
          <w:p w14:paraId="1647991E" w14:textId="77777777" w:rsidR="004E4757" w:rsidRDefault="004E4757" w:rsidP="00EE6277">
            <w:pPr>
              <w:jc w:val="center"/>
            </w:pPr>
            <w:r>
              <w:t>3</w:t>
            </w:r>
          </w:p>
        </w:tc>
        <w:tc>
          <w:tcPr>
            <w:tcW w:w="1897" w:type="dxa"/>
            <w:tcBorders>
              <w:right w:val="single" w:sz="12" w:space="0" w:color="auto"/>
            </w:tcBorders>
            <w:shd w:val="clear" w:color="auto" w:fill="auto"/>
          </w:tcPr>
          <w:p w14:paraId="53C9CC3E" w14:textId="77777777" w:rsidR="004E4757" w:rsidRDefault="004E4757" w:rsidP="00EE6277">
            <w:pPr>
              <w:jc w:val="center"/>
            </w:pPr>
            <w:r>
              <w:t>3</w:t>
            </w:r>
          </w:p>
        </w:tc>
      </w:tr>
      <w:tr w:rsidR="004E4757" w14:paraId="2842EB12" w14:textId="77777777" w:rsidTr="00BC3A3B">
        <w:tc>
          <w:tcPr>
            <w:tcW w:w="1969" w:type="dxa"/>
            <w:tcBorders>
              <w:left w:val="single" w:sz="12" w:space="0" w:color="auto"/>
            </w:tcBorders>
            <w:shd w:val="clear" w:color="auto" w:fill="auto"/>
          </w:tcPr>
          <w:p w14:paraId="37F4DA25" w14:textId="6C37C09C" w:rsidR="00887CD1" w:rsidRDefault="004E4757" w:rsidP="002D1811">
            <w:r>
              <w:t>Gendergelijkheid</w:t>
            </w:r>
          </w:p>
        </w:tc>
        <w:tc>
          <w:tcPr>
            <w:tcW w:w="1903" w:type="dxa"/>
            <w:shd w:val="clear" w:color="auto" w:fill="auto"/>
          </w:tcPr>
          <w:p w14:paraId="47617DCE" w14:textId="19D3ABBC" w:rsidR="004E4757" w:rsidRDefault="00FC4924" w:rsidP="00EE6277">
            <w:pPr>
              <w:jc w:val="center"/>
            </w:pPr>
            <w:r>
              <w:t>4</w:t>
            </w:r>
          </w:p>
        </w:tc>
        <w:tc>
          <w:tcPr>
            <w:tcW w:w="1928" w:type="dxa"/>
            <w:shd w:val="clear" w:color="auto" w:fill="auto"/>
          </w:tcPr>
          <w:p w14:paraId="022422CE" w14:textId="77777777" w:rsidR="004E4757" w:rsidRDefault="004E4757" w:rsidP="00EE6277">
            <w:pPr>
              <w:jc w:val="center"/>
            </w:pPr>
            <w:r>
              <w:t>3</w:t>
            </w:r>
          </w:p>
        </w:tc>
        <w:tc>
          <w:tcPr>
            <w:tcW w:w="1897" w:type="dxa"/>
            <w:tcBorders>
              <w:right w:val="single" w:sz="12" w:space="0" w:color="auto"/>
            </w:tcBorders>
            <w:shd w:val="clear" w:color="auto" w:fill="auto"/>
          </w:tcPr>
          <w:p w14:paraId="3F57D994" w14:textId="77777777" w:rsidR="004E4757" w:rsidRDefault="004E4757" w:rsidP="00EE6277">
            <w:pPr>
              <w:jc w:val="center"/>
            </w:pPr>
            <w:r>
              <w:t>4</w:t>
            </w:r>
          </w:p>
        </w:tc>
      </w:tr>
      <w:tr w:rsidR="004E4757" w14:paraId="1198BBBB" w14:textId="77777777" w:rsidTr="00BC3A3B">
        <w:tc>
          <w:tcPr>
            <w:tcW w:w="1969" w:type="dxa"/>
            <w:tcBorders>
              <w:left w:val="single" w:sz="12" w:space="0" w:color="auto"/>
            </w:tcBorders>
            <w:shd w:val="clear" w:color="auto" w:fill="auto"/>
          </w:tcPr>
          <w:p w14:paraId="2A40D606" w14:textId="1C01C0CE" w:rsidR="00887CD1" w:rsidRDefault="004E4757" w:rsidP="002D1811">
            <w:r>
              <w:t>Klimaat</w:t>
            </w:r>
          </w:p>
        </w:tc>
        <w:tc>
          <w:tcPr>
            <w:tcW w:w="1903" w:type="dxa"/>
            <w:shd w:val="clear" w:color="auto" w:fill="auto"/>
          </w:tcPr>
          <w:p w14:paraId="145F7EC5" w14:textId="440EE190" w:rsidR="004E4757" w:rsidRDefault="00FC4924" w:rsidP="00EE6277">
            <w:pPr>
              <w:jc w:val="center"/>
            </w:pPr>
            <w:r>
              <w:t>4</w:t>
            </w:r>
          </w:p>
        </w:tc>
        <w:tc>
          <w:tcPr>
            <w:tcW w:w="1928" w:type="dxa"/>
            <w:shd w:val="clear" w:color="auto" w:fill="auto"/>
          </w:tcPr>
          <w:p w14:paraId="2E8F1632" w14:textId="77777777" w:rsidR="004E4757" w:rsidRDefault="004E4757" w:rsidP="00EE6277">
            <w:pPr>
              <w:jc w:val="center"/>
            </w:pPr>
            <w:r>
              <w:t>3</w:t>
            </w:r>
          </w:p>
        </w:tc>
        <w:tc>
          <w:tcPr>
            <w:tcW w:w="1897" w:type="dxa"/>
            <w:tcBorders>
              <w:right w:val="single" w:sz="12" w:space="0" w:color="auto"/>
            </w:tcBorders>
            <w:shd w:val="clear" w:color="auto" w:fill="auto"/>
          </w:tcPr>
          <w:p w14:paraId="425352B5" w14:textId="7774E738" w:rsidR="004E4757" w:rsidRDefault="00FC4924" w:rsidP="00EE6277">
            <w:pPr>
              <w:jc w:val="center"/>
            </w:pPr>
            <w:r>
              <w:t>4</w:t>
            </w:r>
          </w:p>
        </w:tc>
      </w:tr>
      <w:tr w:rsidR="004E4757" w14:paraId="2ECB378D" w14:textId="77777777" w:rsidTr="00BC3A3B">
        <w:tc>
          <w:tcPr>
            <w:tcW w:w="1969" w:type="dxa"/>
            <w:tcBorders>
              <w:left w:val="single" w:sz="12" w:space="0" w:color="auto"/>
            </w:tcBorders>
            <w:shd w:val="clear" w:color="auto" w:fill="auto"/>
          </w:tcPr>
          <w:p w14:paraId="2B669D79" w14:textId="66CD9B56" w:rsidR="004E4757" w:rsidRDefault="00887CD1" w:rsidP="00887CD1">
            <w:r>
              <w:t>Private sector ontwikkeling</w:t>
            </w:r>
          </w:p>
        </w:tc>
        <w:tc>
          <w:tcPr>
            <w:tcW w:w="1903" w:type="dxa"/>
            <w:shd w:val="clear" w:color="auto" w:fill="auto"/>
          </w:tcPr>
          <w:p w14:paraId="1AB3E8B3" w14:textId="633C3991" w:rsidR="004E4757" w:rsidRDefault="00FC4924" w:rsidP="00EE6277">
            <w:pPr>
              <w:jc w:val="center"/>
            </w:pPr>
            <w:r>
              <w:t>4</w:t>
            </w:r>
          </w:p>
        </w:tc>
        <w:tc>
          <w:tcPr>
            <w:tcW w:w="1928" w:type="dxa"/>
            <w:shd w:val="clear" w:color="auto" w:fill="auto"/>
          </w:tcPr>
          <w:p w14:paraId="02F2E848" w14:textId="77777777" w:rsidR="004E4757" w:rsidRDefault="004E4757" w:rsidP="00EE6277">
            <w:pPr>
              <w:jc w:val="center"/>
            </w:pPr>
            <w:r>
              <w:t>3</w:t>
            </w:r>
          </w:p>
        </w:tc>
        <w:tc>
          <w:tcPr>
            <w:tcW w:w="1897" w:type="dxa"/>
            <w:tcBorders>
              <w:right w:val="single" w:sz="12" w:space="0" w:color="auto"/>
            </w:tcBorders>
            <w:shd w:val="clear" w:color="auto" w:fill="auto"/>
          </w:tcPr>
          <w:p w14:paraId="3BC5D00C" w14:textId="77777777" w:rsidR="004E4757" w:rsidRDefault="004E4757" w:rsidP="00EE6277">
            <w:pPr>
              <w:jc w:val="center"/>
            </w:pPr>
            <w:r>
              <w:t>4</w:t>
            </w:r>
          </w:p>
        </w:tc>
      </w:tr>
      <w:tr w:rsidR="00BC3A3B" w14:paraId="4E13D5D7" w14:textId="77777777" w:rsidTr="00F2099E">
        <w:trPr>
          <w:trHeight w:val="102"/>
        </w:trPr>
        <w:tc>
          <w:tcPr>
            <w:tcW w:w="7697" w:type="dxa"/>
            <w:gridSpan w:val="4"/>
            <w:tcBorders>
              <w:top w:val="single" w:sz="12" w:space="0" w:color="auto"/>
              <w:left w:val="single" w:sz="12" w:space="0" w:color="auto"/>
              <w:right w:val="single" w:sz="12" w:space="0" w:color="auto"/>
            </w:tcBorders>
            <w:shd w:val="clear" w:color="auto" w:fill="BFBFBF" w:themeFill="background1" w:themeFillShade="BF"/>
          </w:tcPr>
          <w:p w14:paraId="0D1DDF7F" w14:textId="23E505AC" w:rsidR="00BC3A3B" w:rsidRPr="00BC3A3B" w:rsidRDefault="00BC3A3B" w:rsidP="00BC3A3B">
            <w:pPr>
              <w:rPr>
                <w:b/>
              </w:rPr>
            </w:pPr>
            <w:r>
              <w:rPr>
                <w:rFonts w:cs="Verdana"/>
                <w:b/>
                <w:szCs w:val="18"/>
              </w:rPr>
              <w:t>Overige relevantie</w:t>
            </w:r>
          </w:p>
        </w:tc>
      </w:tr>
      <w:tr w:rsidR="00A60364" w:rsidRPr="00EE366A" w14:paraId="02C3DE48" w14:textId="77777777" w:rsidTr="00C251F6">
        <w:tc>
          <w:tcPr>
            <w:tcW w:w="1969" w:type="dxa"/>
            <w:tcBorders>
              <w:top w:val="single" w:sz="12" w:space="0" w:color="auto"/>
              <w:left w:val="single" w:sz="12" w:space="0" w:color="auto"/>
              <w:bottom w:val="single" w:sz="12" w:space="0" w:color="auto"/>
            </w:tcBorders>
            <w:shd w:val="clear" w:color="auto" w:fill="auto"/>
          </w:tcPr>
          <w:p w14:paraId="1598B54B" w14:textId="105358A8" w:rsidR="00A60364" w:rsidRPr="00BC3A3B" w:rsidRDefault="00A60364" w:rsidP="004C4073">
            <w:r>
              <w:t>Internationale coördinatie en samenwerking ontwikkelingsbeleid</w:t>
            </w:r>
          </w:p>
        </w:tc>
        <w:tc>
          <w:tcPr>
            <w:tcW w:w="1903" w:type="dxa"/>
            <w:tcBorders>
              <w:top w:val="single" w:sz="12" w:space="0" w:color="auto"/>
              <w:bottom w:val="single" w:sz="12" w:space="0" w:color="auto"/>
            </w:tcBorders>
            <w:shd w:val="clear" w:color="auto" w:fill="auto"/>
          </w:tcPr>
          <w:p w14:paraId="1E6FBE50" w14:textId="77777777" w:rsidR="00A60364" w:rsidRPr="00EE366A" w:rsidRDefault="00A60364" w:rsidP="00EE6277">
            <w:pPr>
              <w:jc w:val="center"/>
            </w:pPr>
          </w:p>
        </w:tc>
        <w:tc>
          <w:tcPr>
            <w:tcW w:w="1928" w:type="dxa"/>
            <w:tcBorders>
              <w:top w:val="single" w:sz="12" w:space="0" w:color="auto"/>
              <w:bottom w:val="single" w:sz="12" w:space="0" w:color="auto"/>
            </w:tcBorders>
            <w:shd w:val="clear" w:color="auto" w:fill="auto"/>
          </w:tcPr>
          <w:p w14:paraId="3FE4C227" w14:textId="3EE2E419" w:rsidR="00A60364" w:rsidRPr="00EE366A" w:rsidRDefault="00357766" w:rsidP="00EE6277">
            <w:pPr>
              <w:jc w:val="center"/>
            </w:pPr>
            <w:r>
              <w:t>3</w:t>
            </w:r>
          </w:p>
        </w:tc>
        <w:tc>
          <w:tcPr>
            <w:tcW w:w="1897" w:type="dxa"/>
            <w:tcBorders>
              <w:top w:val="single" w:sz="12" w:space="0" w:color="auto"/>
              <w:bottom w:val="single" w:sz="12" w:space="0" w:color="auto"/>
              <w:right w:val="single" w:sz="12" w:space="0" w:color="auto"/>
            </w:tcBorders>
            <w:shd w:val="clear" w:color="auto" w:fill="auto"/>
          </w:tcPr>
          <w:p w14:paraId="45F929C2" w14:textId="77777777" w:rsidR="00A60364" w:rsidRPr="00EE366A" w:rsidRDefault="00A60364" w:rsidP="00EE6277">
            <w:pPr>
              <w:jc w:val="center"/>
            </w:pPr>
          </w:p>
        </w:tc>
      </w:tr>
      <w:tr w:rsidR="00BC3A3B" w:rsidRPr="00EE366A" w14:paraId="4C0F7751" w14:textId="77777777" w:rsidTr="00C251F6">
        <w:tc>
          <w:tcPr>
            <w:tcW w:w="1969" w:type="dxa"/>
            <w:tcBorders>
              <w:top w:val="single" w:sz="12" w:space="0" w:color="auto"/>
              <w:left w:val="single" w:sz="12" w:space="0" w:color="auto"/>
              <w:bottom w:val="single" w:sz="12" w:space="0" w:color="auto"/>
            </w:tcBorders>
            <w:shd w:val="clear" w:color="auto" w:fill="auto"/>
          </w:tcPr>
          <w:p w14:paraId="47136DB5" w14:textId="77777777" w:rsidR="00BC3A3B" w:rsidRPr="00307D86" w:rsidRDefault="00BC3A3B" w:rsidP="004C4073">
            <w:pPr>
              <w:rPr>
                <w:i/>
              </w:rPr>
            </w:pPr>
            <w:proofErr w:type="spellStart"/>
            <w:r w:rsidRPr="00307D86">
              <w:rPr>
                <w:i/>
              </w:rPr>
              <w:t>Domestic</w:t>
            </w:r>
            <w:proofErr w:type="spellEnd"/>
            <w:r w:rsidRPr="00307D86">
              <w:rPr>
                <w:i/>
              </w:rPr>
              <w:t xml:space="preserve"> resource </w:t>
            </w:r>
            <w:proofErr w:type="spellStart"/>
            <w:r w:rsidRPr="00307D86">
              <w:rPr>
                <w:i/>
              </w:rPr>
              <w:t>mobilisation</w:t>
            </w:r>
            <w:proofErr w:type="spellEnd"/>
            <w:r w:rsidRPr="00307D86">
              <w:rPr>
                <w:i/>
              </w:rPr>
              <w:t xml:space="preserve"> </w:t>
            </w:r>
          </w:p>
        </w:tc>
        <w:tc>
          <w:tcPr>
            <w:tcW w:w="1903" w:type="dxa"/>
            <w:tcBorders>
              <w:top w:val="single" w:sz="12" w:space="0" w:color="auto"/>
              <w:bottom w:val="single" w:sz="12" w:space="0" w:color="auto"/>
            </w:tcBorders>
            <w:shd w:val="clear" w:color="auto" w:fill="auto"/>
          </w:tcPr>
          <w:p w14:paraId="4F64864E" w14:textId="77777777" w:rsidR="00BC3A3B" w:rsidRPr="00EE366A" w:rsidRDefault="00BC3A3B" w:rsidP="00EE6277">
            <w:pPr>
              <w:jc w:val="center"/>
            </w:pPr>
            <w:r w:rsidRPr="00EE366A">
              <w:t>4</w:t>
            </w:r>
          </w:p>
        </w:tc>
        <w:tc>
          <w:tcPr>
            <w:tcW w:w="1928" w:type="dxa"/>
            <w:tcBorders>
              <w:top w:val="single" w:sz="12" w:space="0" w:color="auto"/>
              <w:bottom w:val="single" w:sz="12" w:space="0" w:color="auto"/>
            </w:tcBorders>
            <w:shd w:val="clear" w:color="auto" w:fill="auto"/>
          </w:tcPr>
          <w:p w14:paraId="5E813819" w14:textId="77777777" w:rsidR="00BC3A3B" w:rsidRPr="00EE366A" w:rsidRDefault="00BC3A3B" w:rsidP="00EE6277">
            <w:pPr>
              <w:jc w:val="center"/>
            </w:pPr>
            <w:r w:rsidRPr="00EE366A">
              <w:t>4</w:t>
            </w:r>
          </w:p>
        </w:tc>
        <w:tc>
          <w:tcPr>
            <w:tcW w:w="1897" w:type="dxa"/>
            <w:tcBorders>
              <w:top w:val="single" w:sz="12" w:space="0" w:color="auto"/>
              <w:bottom w:val="single" w:sz="12" w:space="0" w:color="auto"/>
              <w:right w:val="single" w:sz="12" w:space="0" w:color="auto"/>
            </w:tcBorders>
            <w:shd w:val="clear" w:color="auto" w:fill="auto"/>
          </w:tcPr>
          <w:p w14:paraId="1E520827" w14:textId="77777777" w:rsidR="00BC3A3B" w:rsidRPr="00EE366A" w:rsidRDefault="00BC3A3B" w:rsidP="00EE6277">
            <w:pPr>
              <w:jc w:val="center"/>
            </w:pPr>
            <w:r w:rsidRPr="00EE366A">
              <w:t>4</w:t>
            </w:r>
          </w:p>
        </w:tc>
      </w:tr>
    </w:tbl>
    <w:p w14:paraId="405763E5" w14:textId="77777777" w:rsidR="002D1811" w:rsidRDefault="002D1811" w:rsidP="002D1811">
      <w:pPr>
        <w:ind w:left="227"/>
      </w:pPr>
    </w:p>
    <w:p w14:paraId="4AAD9399" w14:textId="1DFAFA0C" w:rsidR="002D1811" w:rsidRPr="00DF4CDB" w:rsidRDefault="002D1811" w:rsidP="002D1811">
      <w:pPr>
        <w:ind w:left="227"/>
      </w:pPr>
      <w:r>
        <w:t>Beoordeling: Onvoldoende = 1, Matig = 2, Voldoende = 3, Goed = 4</w:t>
      </w:r>
    </w:p>
    <w:p w14:paraId="6B2EE014" w14:textId="6742880E" w:rsidR="00DC69B7" w:rsidRDefault="00DC69B7" w:rsidP="002D1811">
      <w:pPr>
        <w:ind w:left="227"/>
      </w:pPr>
    </w:p>
    <w:p w14:paraId="7E6A81E2" w14:textId="739AD410" w:rsidR="00DC69B7" w:rsidRDefault="00DC69B7" w:rsidP="002D1811">
      <w:pPr>
        <w:ind w:left="227"/>
      </w:pPr>
    </w:p>
    <w:p w14:paraId="044E2907" w14:textId="0B009D16" w:rsidR="007816ED" w:rsidRPr="00734374" w:rsidRDefault="002D1811" w:rsidP="007816ED">
      <w:pPr>
        <w:pStyle w:val="Heading1"/>
        <w:tabs>
          <w:tab w:val="num" w:pos="0"/>
        </w:tabs>
        <w:spacing w:after="240" w:line="240" w:lineRule="auto"/>
        <w:ind w:hanging="1162"/>
      </w:pPr>
      <w:bookmarkStart w:id="25" w:name="_Toc484612341"/>
      <w:bookmarkStart w:id="26" w:name="_Toc491439906"/>
      <w:r>
        <w:lastRenderedPageBreak/>
        <w:t>2</w:t>
      </w:r>
      <w:r w:rsidR="007816ED" w:rsidRPr="00734374">
        <w:t xml:space="preserve"> </w:t>
      </w:r>
      <w:r w:rsidR="007816ED">
        <w:tab/>
      </w:r>
      <w:r w:rsidR="007816ED" w:rsidRPr="00734374">
        <w:t>Inleiding</w:t>
      </w:r>
      <w:bookmarkEnd w:id="19"/>
      <w:bookmarkEnd w:id="25"/>
      <w:bookmarkEnd w:id="26"/>
    </w:p>
    <w:p w14:paraId="278E32B6" w14:textId="10629F0B" w:rsidR="007816ED" w:rsidRDefault="007816ED" w:rsidP="007816ED">
      <w:pPr>
        <w:shd w:val="clear" w:color="auto" w:fill="FFFFFF"/>
        <w:spacing w:before="100" w:beforeAutospacing="1" w:after="100" w:afterAutospacing="1" w:line="240" w:lineRule="auto"/>
        <w:rPr>
          <w:szCs w:val="18"/>
          <w:lang w:eastAsia="zh-CN"/>
        </w:rPr>
      </w:pPr>
      <w:r>
        <w:rPr>
          <w:szCs w:val="18"/>
          <w:lang w:eastAsia="zh-CN"/>
        </w:rPr>
        <w:t xml:space="preserve">Scorecards worden opgesteld om het functioneren en de beleidsrelevantie van multilaterale organisaties in kaart te brengen. De Nederlandse inzet in multilaterale organisaties wordt geconcentreerd op organisaties die effectief zijn en die relevant zijn voor het Nederlandse beleid, of een sleutelrol vervullen binnen de multilaterale architectuur als “systeemorganisatie”. Dit vraagt om zorgvuldige en regelmatige toetsing. Het streven is om scorecards op te stellen voor de VN Fondsen en Programma’s, de Internationale Financiële Instellingen, de voor Nederlands </w:t>
      </w:r>
      <w:r w:rsidR="002D1811">
        <w:rPr>
          <w:szCs w:val="18"/>
          <w:lang w:eastAsia="zh-CN"/>
        </w:rPr>
        <w:t>beleid voor Buitenlandse Handel en Ontwikkelingssamenwerking (</w:t>
      </w:r>
      <w:r>
        <w:rPr>
          <w:szCs w:val="18"/>
          <w:lang w:eastAsia="zh-CN"/>
        </w:rPr>
        <w:t>BHOS</w:t>
      </w:r>
      <w:r w:rsidR="002D1811">
        <w:rPr>
          <w:szCs w:val="18"/>
          <w:lang w:eastAsia="zh-CN"/>
        </w:rPr>
        <w:t>)</w:t>
      </w:r>
      <w:r>
        <w:rPr>
          <w:szCs w:val="18"/>
          <w:lang w:eastAsia="zh-CN"/>
        </w:rPr>
        <w:t xml:space="preserve"> relevante gespecialiseerde VN-organisaties en kantoren, en de majeure wereldwijde fondsen; multilaterale organisaties waaraan Nederland een substantiële ODA-bijdrage levert. De relevantie wordt primair getoetst aan het Nederlandse beleid voor</w:t>
      </w:r>
      <w:r w:rsidR="002D1811">
        <w:rPr>
          <w:szCs w:val="18"/>
          <w:lang w:eastAsia="zh-CN"/>
        </w:rPr>
        <w:t xml:space="preserve"> BHOS</w:t>
      </w:r>
      <w:r>
        <w:rPr>
          <w:szCs w:val="18"/>
          <w:lang w:eastAsia="zh-CN"/>
        </w:rPr>
        <w:t>, maar de bredere betekenis van multilaterale instellingen voor andere aspecten van Nederlands beleid wordt waar relevant meegenomen.</w:t>
      </w:r>
    </w:p>
    <w:p w14:paraId="153C4577" w14:textId="77777777" w:rsidR="007816ED" w:rsidRPr="00307981" w:rsidRDefault="007816ED" w:rsidP="007816ED">
      <w:pPr>
        <w:shd w:val="clear" w:color="auto" w:fill="FFFFFF"/>
        <w:spacing w:before="100" w:beforeAutospacing="1" w:after="100" w:afterAutospacing="1" w:line="240" w:lineRule="auto"/>
        <w:rPr>
          <w:szCs w:val="18"/>
          <w:lang w:eastAsia="zh-CN"/>
        </w:rPr>
      </w:pPr>
      <w:r>
        <w:rPr>
          <w:szCs w:val="18"/>
          <w:lang w:eastAsia="zh-CN"/>
        </w:rPr>
        <w:t>Elke</w:t>
      </w:r>
      <w:r w:rsidRPr="00307981">
        <w:rPr>
          <w:szCs w:val="18"/>
          <w:lang w:eastAsia="zh-CN"/>
        </w:rPr>
        <w:t xml:space="preserve"> scorecard ge</w:t>
      </w:r>
      <w:r>
        <w:rPr>
          <w:szCs w:val="18"/>
          <w:lang w:eastAsia="zh-CN"/>
        </w:rPr>
        <w:t>eft</w:t>
      </w:r>
      <w:r w:rsidRPr="00307981">
        <w:rPr>
          <w:szCs w:val="18"/>
          <w:lang w:eastAsia="zh-CN"/>
        </w:rPr>
        <w:t xml:space="preserve"> een overzicht van de doelstellingen</w:t>
      </w:r>
      <w:r>
        <w:rPr>
          <w:szCs w:val="18"/>
          <w:lang w:eastAsia="zh-CN"/>
        </w:rPr>
        <w:t>,</w:t>
      </w:r>
      <w:r w:rsidRPr="00307981">
        <w:rPr>
          <w:szCs w:val="18"/>
          <w:lang w:eastAsia="zh-CN"/>
        </w:rPr>
        <w:t xml:space="preserve"> het mandaat </w:t>
      </w:r>
      <w:r>
        <w:rPr>
          <w:szCs w:val="18"/>
          <w:lang w:eastAsia="zh-CN"/>
        </w:rPr>
        <w:t xml:space="preserve">en de kernkwaliteiten van de </w:t>
      </w:r>
      <w:r w:rsidRPr="00307981">
        <w:rPr>
          <w:szCs w:val="18"/>
          <w:lang w:eastAsia="zh-CN"/>
        </w:rPr>
        <w:t xml:space="preserve">betreffende internationale </w:t>
      </w:r>
      <w:r>
        <w:rPr>
          <w:szCs w:val="18"/>
          <w:lang w:eastAsia="zh-CN"/>
        </w:rPr>
        <w:t>instelling</w:t>
      </w:r>
      <w:r w:rsidRPr="00307981">
        <w:rPr>
          <w:szCs w:val="18"/>
          <w:lang w:eastAsia="zh-CN"/>
        </w:rPr>
        <w:t xml:space="preserve">, van de wijze waarop de organisatie </w:t>
      </w:r>
      <w:r>
        <w:rPr>
          <w:szCs w:val="18"/>
          <w:lang w:eastAsia="zh-CN"/>
        </w:rPr>
        <w:t>is ingericht en welke activiteiten ze</w:t>
      </w:r>
      <w:r w:rsidRPr="00307981">
        <w:rPr>
          <w:szCs w:val="18"/>
          <w:lang w:eastAsia="zh-CN"/>
        </w:rPr>
        <w:t xml:space="preserve"> uitvoert, van de financiële omvang en de Nederlandse bijdragen</w:t>
      </w:r>
      <w:r>
        <w:rPr>
          <w:szCs w:val="18"/>
          <w:lang w:eastAsia="zh-CN"/>
        </w:rPr>
        <w:t>. Op basis van een analyse van de verschillende deelaspecten wordt een</w:t>
      </w:r>
      <w:r w:rsidRPr="00307981">
        <w:rPr>
          <w:szCs w:val="18"/>
          <w:lang w:eastAsia="zh-CN"/>
        </w:rPr>
        <w:t xml:space="preserve"> appreciatie </w:t>
      </w:r>
      <w:r>
        <w:rPr>
          <w:szCs w:val="18"/>
          <w:lang w:eastAsia="zh-CN"/>
        </w:rPr>
        <w:t xml:space="preserve">gegeven </w:t>
      </w:r>
      <w:r w:rsidRPr="00307981">
        <w:rPr>
          <w:szCs w:val="18"/>
          <w:lang w:eastAsia="zh-CN"/>
        </w:rPr>
        <w:t xml:space="preserve">van de </w:t>
      </w:r>
      <w:r>
        <w:rPr>
          <w:szCs w:val="18"/>
          <w:lang w:eastAsia="zh-CN"/>
        </w:rPr>
        <w:t>organisatorische effectiviteit</w:t>
      </w:r>
      <w:r w:rsidRPr="00307981">
        <w:rPr>
          <w:szCs w:val="18"/>
          <w:lang w:eastAsia="zh-CN"/>
        </w:rPr>
        <w:t xml:space="preserve"> en van de relevantie </w:t>
      </w:r>
      <w:r>
        <w:rPr>
          <w:szCs w:val="18"/>
          <w:lang w:eastAsia="zh-CN"/>
        </w:rPr>
        <w:t xml:space="preserve">voor </w:t>
      </w:r>
      <w:r w:rsidRPr="00307981">
        <w:rPr>
          <w:szCs w:val="18"/>
          <w:lang w:eastAsia="zh-CN"/>
        </w:rPr>
        <w:t>de Nederlandse beleidsdoelstellingen.</w:t>
      </w:r>
      <w:r>
        <w:rPr>
          <w:szCs w:val="18"/>
          <w:lang w:eastAsia="zh-CN"/>
        </w:rPr>
        <w:t xml:space="preserve"> Er wordt een appreciatie gegeven van de mate waarin organisaties voor het Nederlandse BHOS-beleid relevante resultaten behalen. Deelaspecten van effectiviteit worden beoordeeld op basis van specifieke criteria en gescoord op een </w:t>
      </w:r>
      <w:proofErr w:type="spellStart"/>
      <w:r>
        <w:rPr>
          <w:szCs w:val="18"/>
          <w:lang w:eastAsia="zh-CN"/>
        </w:rPr>
        <w:t>vierpuntsschaal</w:t>
      </w:r>
      <w:proofErr w:type="spellEnd"/>
      <w:r>
        <w:rPr>
          <w:szCs w:val="18"/>
          <w:lang w:eastAsia="zh-CN"/>
        </w:rPr>
        <w:t xml:space="preserve"> van onvoldoende, matig, voldoende en uitstekend. Daarnaast wordt aangegeven of de organisatie een positieve, een negatieve of een neutrale ontwikkeling heeft doorgemaakt sinds de scorecard 2015. Beleidsmatige relevantie en impact (resultaten) worden aangeduid met de kwalificaties relevant, beperkt relevant en niet relevant. Een samenvatting van al deze scores is te vinden in de tabellen in hoofdstuk 5.</w:t>
      </w:r>
    </w:p>
    <w:p w14:paraId="32F34381" w14:textId="53322DE0" w:rsidR="00C5757D" w:rsidRPr="00307981" w:rsidRDefault="007816ED" w:rsidP="007816ED">
      <w:pPr>
        <w:shd w:val="clear" w:color="auto" w:fill="FFFFFF"/>
        <w:spacing w:before="100" w:beforeAutospacing="1" w:after="100" w:afterAutospacing="1" w:line="240" w:lineRule="auto"/>
        <w:rPr>
          <w:szCs w:val="18"/>
          <w:lang w:eastAsia="zh-CN"/>
        </w:rPr>
      </w:pPr>
      <w:r w:rsidRPr="00307981">
        <w:rPr>
          <w:szCs w:val="18"/>
          <w:lang w:eastAsia="zh-CN"/>
        </w:rPr>
        <w:t xml:space="preserve">De scorecards </w:t>
      </w:r>
      <w:r>
        <w:rPr>
          <w:szCs w:val="18"/>
          <w:lang w:eastAsia="zh-CN"/>
        </w:rPr>
        <w:t>zijn</w:t>
      </w:r>
      <w:r w:rsidRPr="00307981">
        <w:rPr>
          <w:szCs w:val="18"/>
          <w:lang w:eastAsia="zh-CN"/>
        </w:rPr>
        <w:t xml:space="preserve"> samengesteld op basis van rapportages van de organisatie zelf, van de </w:t>
      </w:r>
      <w:r w:rsidRPr="00CA5BC9">
        <w:rPr>
          <w:i/>
          <w:szCs w:val="18"/>
          <w:lang w:eastAsia="zh-CN"/>
        </w:rPr>
        <w:t>Board of Auditors</w:t>
      </w:r>
      <w:r w:rsidRPr="00307981">
        <w:rPr>
          <w:szCs w:val="18"/>
          <w:lang w:eastAsia="zh-CN"/>
        </w:rPr>
        <w:t xml:space="preserve">, </w:t>
      </w:r>
      <w:r>
        <w:rPr>
          <w:szCs w:val="18"/>
          <w:lang w:eastAsia="zh-CN"/>
        </w:rPr>
        <w:t xml:space="preserve">interne en externe </w:t>
      </w:r>
      <w:r w:rsidRPr="00307981">
        <w:rPr>
          <w:szCs w:val="18"/>
          <w:lang w:eastAsia="zh-CN"/>
        </w:rPr>
        <w:t>evaluaties</w:t>
      </w:r>
      <w:r>
        <w:rPr>
          <w:szCs w:val="18"/>
          <w:lang w:eastAsia="zh-CN"/>
        </w:rPr>
        <w:t>,</w:t>
      </w:r>
      <w:r w:rsidRPr="00307981">
        <w:rPr>
          <w:szCs w:val="18"/>
          <w:lang w:eastAsia="zh-CN"/>
        </w:rPr>
        <w:t xml:space="preserve"> </w:t>
      </w:r>
      <w:r>
        <w:rPr>
          <w:szCs w:val="18"/>
          <w:lang w:eastAsia="zh-CN"/>
        </w:rPr>
        <w:t xml:space="preserve">beoordelingen door andere donoren en </w:t>
      </w:r>
      <w:r w:rsidRPr="00307981">
        <w:rPr>
          <w:szCs w:val="18"/>
          <w:lang w:eastAsia="zh-CN"/>
        </w:rPr>
        <w:t xml:space="preserve">van het </w:t>
      </w:r>
      <w:proofErr w:type="spellStart"/>
      <w:r w:rsidRPr="00AF36B0">
        <w:rPr>
          <w:i/>
          <w:szCs w:val="18"/>
          <w:lang w:eastAsia="zh-CN"/>
        </w:rPr>
        <w:t>Multilateral</w:t>
      </w:r>
      <w:proofErr w:type="spellEnd"/>
      <w:r w:rsidRPr="00AF36B0">
        <w:rPr>
          <w:i/>
          <w:szCs w:val="18"/>
          <w:lang w:eastAsia="zh-CN"/>
        </w:rPr>
        <w:t xml:space="preserve"> </w:t>
      </w:r>
      <w:proofErr w:type="spellStart"/>
      <w:r w:rsidRPr="00AF36B0">
        <w:rPr>
          <w:i/>
          <w:szCs w:val="18"/>
          <w:lang w:eastAsia="zh-CN"/>
        </w:rPr>
        <w:t>Organisations</w:t>
      </w:r>
      <w:proofErr w:type="spellEnd"/>
      <w:r w:rsidRPr="00AF36B0">
        <w:rPr>
          <w:i/>
          <w:szCs w:val="18"/>
          <w:lang w:eastAsia="zh-CN"/>
        </w:rPr>
        <w:t xml:space="preserve"> Performance Assessment Network</w:t>
      </w:r>
      <w:r w:rsidRPr="00307981">
        <w:rPr>
          <w:szCs w:val="18"/>
          <w:lang w:eastAsia="zh-CN"/>
        </w:rPr>
        <w:t xml:space="preserve"> (MOPAN)</w:t>
      </w:r>
      <w:r>
        <w:rPr>
          <w:szCs w:val="18"/>
          <w:lang w:eastAsia="zh-CN"/>
        </w:rPr>
        <w:t>.</w:t>
      </w:r>
      <w:r w:rsidR="00C5757D">
        <w:rPr>
          <w:rStyle w:val="FootnoteReference"/>
          <w:szCs w:val="18"/>
          <w:lang w:eastAsia="zh-CN"/>
        </w:rPr>
        <w:footnoteReference w:id="2"/>
      </w:r>
      <w:r w:rsidR="00C5757D">
        <w:rPr>
          <w:szCs w:val="18"/>
          <w:lang w:eastAsia="zh-CN"/>
        </w:rPr>
        <w:t xml:space="preserve"> </w:t>
      </w:r>
      <w:r w:rsidR="00C5757D" w:rsidRPr="00307981">
        <w:rPr>
          <w:szCs w:val="18"/>
          <w:lang w:eastAsia="zh-CN"/>
        </w:rPr>
        <w:t>Daarnaast wordt om de input gevraagd van betrokken vakdepartementen, de Permanente Vertegenwoordigingen</w:t>
      </w:r>
      <w:r w:rsidR="00C5757D">
        <w:rPr>
          <w:szCs w:val="18"/>
          <w:lang w:eastAsia="zh-CN"/>
        </w:rPr>
        <w:t xml:space="preserve"> en</w:t>
      </w:r>
      <w:r w:rsidR="00C5757D" w:rsidRPr="00307981">
        <w:rPr>
          <w:szCs w:val="18"/>
          <w:lang w:eastAsia="zh-CN"/>
        </w:rPr>
        <w:t xml:space="preserve"> </w:t>
      </w:r>
      <w:proofErr w:type="spellStart"/>
      <w:r w:rsidR="00C5757D" w:rsidRPr="00307981">
        <w:rPr>
          <w:szCs w:val="18"/>
          <w:lang w:eastAsia="zh-CN"/>
        </w:rPr>
        <w:t>Kiesgroepkantoren</w:t>
      </w:r>
      <w:proofErr w:type="spellEnd"/>
      <w:r w:rsidR="00C5757D" w:rsidRPr="00307981">
        <w:rPr>
          <w:szCs w:val="18"/>
          <w:lang w:eastAsia="zh-CN"/>
        </w:rPr>
        <w:t xml:space="preserve">. Ook </w:t>
      </w:r>
      <w:r w:rsidR="00C5757D">
        <w:rPr>
          <w:szCs w:val="18"/>
          <w:lang w:eastAsia="zh-CN"/>
        </w:rPr>
        <w:t xml:space="preserve">informatie van ambassades </w:t>
      </w:r>
      <w:r w:rsidR="00C5757D" w:rsidRPr="00307981">
        <w:rPr>
          <w:szCs w:val="18"/>
          <w:lang w:eastAsia="zh-CN"/>
        </w:rPr>
        <w:t xml:space="preserve">over het functioneren van landenkantoren </w:t>
      </w:r>
      <w:r w:rsidR="00C5757D">
        <w:rPr>
          <w:szCs w:val="18"/>
          <w:lang w:eastAsia="zh-CN"/>
        </w:rPr>
        <w:t>van multilaterale instellingen zijn</w:t>
      </w:r>
      <w:r w:rsidR="00C5757D" w:rsidRPr="00307981">
        <w:rPr>
          <w:szCs w:val="18"/>
          <w:lang w:eastAsia="zh-CN"/>
        </w:rPr>
        <w:t xml:space="preserve"> in de scorecard </w:t>
      </w:r>
      <w:r w:rsidR="00C5757D">
        <w:rPr>
          <w:szCs w:val="18"/>
          <w:lang w:eastAsia="zh-CN"/>
        </w:rPr>
        <w:t>verwerkt.</w:t>
      </w:r>
      <w:r w:rsidR="00C5757D" w:rsidRPr="00307981">
        <w:rPr>
          <w:szCs w:val="18"/>
          <w:lang w:eastAsia="zh-CN"/>
        </w:rPr>
        <w:t xml:space="preserve"> </w:t>
      </w:r>
      <w:r w:rsidR="00C5757D">
        <w:rPr>
          <w:szCs w:val="18"/>
          <w:lang w:eastAsia="zh-CN"/>
        </w:rPr>
        <w:t>De s</w:t>
      </w:r>
      <w:r w:rsidR="00C5757D" w:rsidRPr="00307981">
        <w:rPr>
          <w:szCs w:val="18"/>
          <w:lang w:eastAsia="zh-CN"/>
        </w:rPr>
        <w:t xml:space="preserve">corecards </w:t>
      </w:r>
      <w:r w:rsidR="00C5757D">
        <w:rPr>
          <w:szCs w:val="18"/>
          <w:lang w:eastAsia="zh-CN"/>
        </w:rPr>
        <w:t xml:space="preserve">worden iedere twee jaar </w:t>
      </w:r>
      <w:r w:rsidR="00C5757D" w:rsidRPr="00307981">
        <w:rPr>
          <w:szCs w:val="18"/>
          <w:lang w:eastAsia="zh-CN"/>
        </w:rPr>
        <w:t>geactualiseerd</w:t>
      </w:r>
      <w:r w:rsidR="00C5757D">
        <w:rPr>
          <w:szCs w:val="18"/>
          <w:lang w:eastAsia="zh-CN"/>
        </w:rPr>
        <w:t>.</w:t>
      </w:r>
    </w:p>
    <w:p w14:paraId="230EADCD" w14:textId="77777777" w:rsidR="00C5757D" w:rsidRPr="00307981" w:rsidRDefault="00C5757D" w:rsidP="007816ED"/>
    <w:p w14:paraId="052E4939" w14:textId="55A191F8" w:rsidR="00C5757D" w:rsidRDefault="00C5757D" w:rsidP="002D1811">
      <w:pPr>
        <w:pStyle w:val="Heading1"/>
        <w:numPr>
          <w:ilvl w:val="0"/>
          <w:numId w:val="43"/>
        </w:numPr>
        <w:spacing w:after="240" w:line="240" w:lineRule="auto"/>
      </w:pPr>
      <w:r>
        <w:lastRenderedPageBreak/>
        <w:tab/>
      </w:r>
      <w:r w:rsidR="00461DAD">
        <w:tab/>
      </w:r>
      <w:r w:rsidR="00461DAD">
        <w:tab/>
      </w:r>
      <w:r w:rsidR="00461DAD">
        <w:tab/>
      </w:r>
      <w:r w:rsidR="00461DAD">
        <w:tab/>
      </w:r>
      <w:r w:rsidR="00461DAD">
        <w:tab/>
        <w:t xml:space="preserve"> </w:t>
      </w:r>
      <w:r w:rsidR="00461DAD">
        <w:tab/>
      </w:r>
      <w:r w:rsidR="00461DAD">
        <w:tab/>
      </w:r>
      <w:r w:rsidR="00461DAD">
        <w:tab/>
        <w:t xml:space="preserve"> </w:t>
      </w:r>
      <w:r w:rsidR="00461DAD">
        <w:tab/>
        <w:t xml:space="preserve"> </w:t>
      </w:r>
      <w:r w:rsidR="00461DAD">
        <w:tab/>
      </w:r>
      <w:bookmarkStart w:id="27" w:name="_Toc484612342"/>
      <w:bookmarkStart w:id="28" w:name="_Toc491439907"/>
      <w:r>
        <w:t>Algemene achtergrond</w:t>
      </w:r>
      <w:bookmarkEnd w:id="27"/>
      <w:bookmarkEnd w:id="28"/>
    </w:p>
    <w:p w14:paraId="5BBBC894" w14:textId="27CFC5DA" w:rsidR="00C5757D" w:rsidRDefault="00C5757D" w:rsidP="002D1811">
      <w:pPr>
        <w:pStyle w:val="Heading2"/>
        <w:tabs>
          <w:tab w:val="left" w:pos="-1162"/>
          <w:tab w:val="left" w:pos="0"/>
        </w:tabs>
        <w:spacing w:line="240" w:lineRule="auto"/>
        <w:ind w:left="-1162"/>
      </w:pPr>
      <w:bookmarkStart w:id="29" w:name="_Toc484612343"/>
      <w:bookmarkStart w:id="30" w:name="_Toc491439908"/>
      <w:r>
        <w:t>3.1</w:t>
      </w:r>
      <w:r>
        <w:tab/>
        <w:t>Doelstelling en toegevoegde waarde</w:t>
      </w:r>
      <w:bookmarkEnd w:id="29"/>
      <w:bookmarkEnd w:id="30"/>
    </w:p>
    <w:p w14:paraId="0A3947E8" w14:textId="5CF5F9D5" w:rsidR="00C5757D" w:rsidRPr="002F2769" w:rsidRDefault="00C5757D" w:rsidP="007816ED">
      <w:r w:rsidRPr="002F2769">
        <w:t xml:space="preserve">De </w:t>
      </w:r>
      <w:proofErr w:type="spellStart"/>
      <w:r w:rsidRPr="002F2769">
        <w:t>Bretton</w:t>
      </w:r>
      <w:proofErr w:type="spellEnd"/>
      <w:r w:rsidRPr="002F2769">
        <w:t xml:space="preserve"> Woods instellingen zijn na de Tweede Wereldoorlog opgericht om de basis te leggen voor een hernieuwde, stabiele wereldeconomie. De </w:t>
      </w:r>
      <w:r w:rsidRPr="00732698">
        <w:rPr>
          <w:i/>
        </w:rPr>
        <w:t xml:space="preserve">International Bank </w:t>
      </w:r>
      <w:proofErr w:type="spellStart"/>
      <w:r w:rsidRPr="00732698">
        <w:rPr>
          <w:i/>
        </w:rPr>
        <w:t>for</w:t>
      </w:r>
      <w:proofErr w:type="spellEnd"/>
      <w:r w:rsidRPr="00732698">
        <w:rPr>
          <w:i/>
        </w:rPr>
        <w:t xml:space="preserve"> </w:t>
      </w:r>
      <w:proofErr w:type="spellStart"/>
      <w:r w:rsidRPr="00732698">
        <w:rPr>
          <w:i/>
        </w:rPr>
        <w:t>Reconstruction</w:t>
      </w:r>
      <w:proofErr w:type="spellEnd"/>
      <w:r w:rsidRPr="00732698">
        <w:rPr>
          <w:i/>
        </w:rPr>
        <w:t xml:space="preserve"> </w:t>
      </w:r>
      <w:proofErr w:type="spellStart"/>
      <w:r w:rsidRPr="00732698">
        <w:rPr>
          <w:i/>
        </w:rPr>
        <w:t>and</w:t>
      </w:r>
      <w:proofErr w:type="spellEnd"/>
      <w:r w:rsidRPr="00732698">
        <w:rPr>
          <w:i/>
        </w:rPr>
        <w:t xml:space="preserve"> Development</w:t>
      </w:r>
      <w:r w:rsidRPr="002F2769">
        <w:t xml:space="preserve"> (IBRD) en het </w:t>
      </w:r>
      <w:r w:rsidRPr="00732698">
        <w:rPr>
          <w:i/>
        </w:rPr>
        <w:t>Internationale Monetaire Fonds</w:t>
      </w:r>
      <w:r w:rsidRPr="002F2769">
        <w:t xml:space="preserve"> (IMF) kregen tot taak om bij te dragen aan de wederopbouw van de door de oorlog getroffen economieën, om zo een meer stabiele en bloeiende wereldeconomie tot stand te brengen. Later werd steun in de vorm van leningen aan niet-Europese ontwikkelingseconomieën aan het mandaat van de IBRD toegevoegd. In 1960 werd de </w:t>
      </w:r>
      <w:r w:rsidRPr="00732698">
        <w:rPr>
          <w:i/>
        </w:rPr>
        <w:t>International Development Association</w:t>
      </w:r>
      <w:r w:rsidRPr="002F2769">
        <w:t xml:space="preserve"> (IDA) opgericht om concessionele leningen en </w:t>
      </w:r>
      <w:r>
        <w:t xml:space="preserve">later ook </w:t>
      </w:r>
      <w:r w:rsidRPr="002F2769">
        <w:t>schenkingen te verstrekken aan de armste lidstaten. Zowel de IBRD als IDA maken deel uit van het systeem van de Verenigde Naties (VN), maar zijn zelfstandig en beschikken over een eigen lidmaatschap en mandaat</w:t>
      </w:r>
      <w:r>
        <w:rPr>
          <w:rStyle w:val="FootnoteReference"/>
        </w:rPr>
        <w:footnoteReference w:id="3"/>
      </w:r>
      <w:r w:rsidRPr="002F2769">
        <w:t>. De twee instellingen worden samen de Wereldbank (hierna ‘de Bank’) genoemd.</w:t>
      </w:r>
    </w:p>
    <w:p w14:paraId="5288521E" w14:textId="77777777" w:rsidR="00C5757D" w:rsidRPr="002F2769" w:rsidRDefault="00C5757D" w:rsidP="007816ED"/>
    <w:p w14:paraId="52C323A3" w14:textId="7A5C969E" w:rsidR="00C5757D" w:rsidRDefault="00C5757D" w:rsidP="007816ED">
      <w:r w:rsidRPr="002F2769">
        <w:t xml:space="preserve">Samen met de </w:t>
      </w:r>
      <w:r w:rsidRPr="00732698">
        <w:rPr>
          <w:i/>
        </w:rPr>
        <w:t>International Finance Corporation</w:t>
      </w:r>
      <w:r w:rsidRPr="002F2769">
        <w:t xml:space="preserve"> (IFC), het </w:t>
      </w:r>
      <w:proofErr w:type="spellStart"/>
      <w:r w:rsidRPr="00732698">
        <w:rPr>
          <w:i/>
        </w:rPr>
        <w:t>Multilateral</w:t>
      </w:r>
      <w:proofErr w:type="spellEnd"/>
      <w:r w:rsidRPr="00732698">
        <w:rPr>
          <w:i/>
        </w:rPr>
        <w:t xml:space="preserve"> Investment </w:t>
      </w:r>
      <w:proofErr w:type="spellStart"/>
      <w:r w:rsidRPr="00732698">
        <w:rPr>
          <w:i/>
        </w:rPr>
        <w:t>Guarantee</w:t>
      </w:r>
      <w:proofErr w:type="spellEnd"/>
      <w:r w:rsidRPr="00732698">
        <w:rPr>
          <w:i/>
        </w:rPr>
        <w:t xml:space="preserve"> Agency</w:t>
      </w:r>
      <w:r w:rsidRPr="002F2769">
        <w:t xml:space="preserve"> (MIGA), en de </w:t>
      </w:r>
      <w:r w:rsidRPr="00732698">
        <w:rPr>
          <w:i/>
        </w:rPr>
        <w:t xml:space="preserve">International Centre </w:t>
      </w:r>
      <w:proofErr w:type="spellStart"/>
      <w:r w:rsidRPr="00732698">
        <w:rPr>
          <w:i/>
        </w:rPr>
        <w:t>for</w:t>
      </w:r>
      <w:proofErr w:type="spellEnd"/>
      <w:r w:rsidRPr="00732698">
        <w:rPr>
          <w:i/>
        </w:rPr>
        <w:t xml:space="preserve"> </w:t>
      </w:r>
      <w:proofErr w:type="spellStart"/>
      <w:r w:rsidRPr="00732698">
        <w:rPr>
          <w:i/>
        </w:rPr>
        <w:t>Settlements</w:t>
      </w:r>
      <w:proofErr w:type="spellEnd"/>
      <w:r w:rsidRPr="00732698">
        <w:rPr>
          <w:i/>
        </w:rPr>
        <w:t xml:space="preserve"> of Investment </w:t>
      </w:r>
      <w:proofErr w:type="spellStart"/>
      <w:r w:rsidRPr="00732698">
        <w:rPr>
          <w:i/>
        </w:rPr>
        <w:t>Disputes</w:t>
      </w:r>
      <w:proofErr w:type="spellEnd"/>
      <w:r w:rsidRPr="002F2769">
        <w:t xml:space="preserve"> (ICSID) maakt de Bank deel uit van de Wereldbankgroep (WBG), waarbij de IFC </w:t>
      </w:r>
      <w:r>
        <w:t>financiering verstrekt</w:t>
      </w:r>
      <w:r w:rsidRPr="002F2769">
        <w:t xml:space="preserve"> om de p</w:t>
      </w:r>
      <w:r>
        <w:t>rivate</w:t>
      </w:r>
      <w:r w:rsidRPr="002F2769">
        <w:t xml:space="preserve"> sector in ontwikkelingslanden te stimuleren, het MIGA streeft naar het bevorderen van particuliere investeringen in ontwikkelingslanden door het bieden van garanties bij politieke risico’s en de ICSID faciliteiten aanbiedt voor het bemiddelen bij, en oplossen van, geschillen tussen staten</w:t>
      </w:r>
      <w:r>
        <w:t xml:space="preserve"> en buitenlandse investeerders.</w:t>
      </w:r>
    </w:p>
    <w:p w14:paraId="233AFCC8" w14:textId="77777777" w:rsidR="00C5757D" w:rsidRPr="002F2769" w:rsidRDefault="00C5757D" w:rsidP="007816ED"/>
    <w:p w14:paraId="290052F5" w14:textId="279670E9" w:rsidR="00C5757D" w:rsidRPr="002F2769" w:rsidRDefault="00C5757D" w:rsidP="007816ED">
      <w:r w:rsidRPr="002F2769">
        <w:t>De WBG kent sinds 2013 de volgende twee hoofddoelstellingen: (1) het beëindigen van extreme armoede in 2030, waarbij minder dan 3% van de wereldbevolking leeft van een inkomen van USD 1,90 per dag en (2) het bereiken van gedeelde welvaart, zodat de inkomensgroei van de armste 40% van de bevolking in de klantlanden minimaal gelijk wordt aan de gemiddelde inkomensgroei per hoofd van de bevolking. Vanuit dit kernmandaat draagt de WBG in samenwerking met andere ontwikkelingspartners bij aan de uitvoering van de mondiale duurzame ontwikkelingsdoelen (</w:t>
      </w:r>
      <w:proofErr w:type="spellStart"/>
      <w:r w:rsidRPr="002F2769">
        <w:t>SDG’s</w:t>
      </w:r>
      <w:proofErr w:type="spellEnd"/>
      <w:r w:rsidRPr="002F2769">
        <w:t>) en de klimaatafspraken van Parijs.</w:t>
      </w:r>
    </w:p>
    <w:p w14:paraId="0C7B53BA" w14:textId="77777777" w:rsidR="00C5757D" w:rsidRPr="002F2769" w:rsidRDefault="00C5757D" w:rsidP="007816ED">
      <w:r w:rsidRPr="002F2769">
        <w:t xml:space="preserve"> </w:t>
      </w:r>
    </w:p>
    <w:p w14:paraId="7247CE6C" w14:textId="3FCF856E" w:rsidR="00C5757D" w:rsidRPr="002F2769" w:rsidRDefault="00C5757D" w:rsidP="007816ED">
      <w:r w:rsidRPr="002F2769">
        <w:t xml:space="preserve">De WBG is te beschouwen als de primus </w:t>
      </w:r>
      <w:proofErr w:type="spellStart"/>
      <w:r w:rsidRPr="002F2769">
        <w:t>inter</w:t>
      </w:r>
      <w:proofErr w:type="spellEnd"/>
      <w:r w:rsidRPr="002F2769">
        <w:t xml:space="preserve"> </w:t>
      </w:r>
      <w:proofErr w:type="spellStart"/>
      <w:r w:rsidRPr="002F2769">
        <w:t>pares</w:t>
      </w:r>
      <w:proofErr w:type="spellEnd"/>
      <w:r w:rsidRPr="002F2769">
        <w:t xml:space="preserve"> in de internationale financiële architectuur voor ontwikkelingssamenwerking. De WBG verstrekt leningen</w:t>
      </w:r>
      <w:r>
        <w:t>, giften, en</w:t>
      </w:r>
      <w:r w:rsidRPr="002F2769">
        <w:t xml:space="preserve"> </w:t>
      </w:r>
      <w:r>
        <w:t xml:space="preserve">verleent </w:t>
      </w:r>
      <w:r w:rsidRPr="002F2769">
        <w:t>technische assistentie aan zowel ontwikkelingslanden als opkomende economieën, en werkt daarbij samen met VN-organisaties, de regionale ontwikkelingsbanken, de Europese Commissie, non-gouvernementele organisaties (</w:t>
      </w:r>
      <w:proofErr w:type="spellStart"/>
      <w:r w:rsidRPr="002F2769">
        <w:t>NGO’s</w:t>
      </w:r>
      <w:proofErr w:type="spellEnd"/>
      <w:r w:rsidRPr="002F2769">
        <w:t xml:space="preserve">), bedrijfsleven en charitatieve fondsen zoals de </w:t>
      </w:r>
      <w:r w:rsidRPr="00732698">
        <w:rPr>
          <w:i/>
        </w:rPr>
        <w:t xml:space="preserve">Bill </w:t>
      </w:r>
      <w:proofErr w:type="spellStart"/>
      <w:r w:rsidRPr="00732698">
        <w:rPr>
          <w:i/>
        </w:rPr>
        <w:t>and</w:t>
      </w:r>
      <w:proofErr w:type="spellEnd"/>
      <w:r w:rsidRPr="00732698">
        <w:rPr>
          <w:i/>
        </w:rPr>
        <w:t xml:space="preserve"> Melinda Gates Foundation</w:t>
      </w:r>
      <w:r w:rsidRPr="002F2769">
        <w:t>. De WBG tracht fragmentatie van ontwikkelingsinspanningen tegen te gaan door partijen op zowel nationaal als internationaal niveau samen te brengen. Daarnaast vervult de WBG een belangrijke kennisfunctie.</w:t>
      </w:r>
    </w:p>
    <w:p w14:paraId="47C70CDB" w14:textId="77777777" w:rsidR="00C5757D" w:rsidRPr="002F2769" w:rsidRDefault="00C5757D" w:rsidP="007816ED"/>
    <w:p w14:paraId="5102ADCC" w14:textId="2F7C08A9" w:rsidR="00C5757D" w:rsidRDefault="00C5757D" w:rsidP="007816ED">
      <w:r w:rsidRPr="002F2769">
        <w:t>Voor Nederland is de WBG een belangrijke ontwikkelingspartner. Als aandeelhouder en invloedrijke donor is Nederland in staat geweest om de afgelopen jaren sterke convergentie te bewerkstellingen tussen het Nederlandse BHOS-beleid en de prioriteiten van de WBG.</w:t>
      </w:r>
      <w:r>
        <w:t xml:space="preserve"> </w:t>
      </w:r>
      <w:r w:rsidRPr="00472820">
        <w:t>De brede inzet van Nederland via de WBG sluit nauw aan op de Nederlandse agenda voor hulp en handel. De WBG werkt volgens hetzelfde principe als Nederland met hulp-, overgangs- en handelsrelaties. De klantlanden van de WBG gradueren idealiter van het IDA-loket (zachte leningen) naar IBRD (leningen met gunstiger voorwaarden dan de markt).</w:t>
      </w:r>
      <w:r>
        <w:t xml:space="preserve"> </w:t>
      </w:r>
      <w:r w:rsidRPr="00472820">
        <w:t xml:space="preserve">De IFC en MIGA dragen met </w:t>
      </w:r>
      <w:r w:rsidRPr="00472820">
        <w:lastRenderedPageBreak/>
        <w:t xml:space="preserve">diverse financiële instrumenten bij aan de ontwikkelingsrelevante versterking van de private sector. </w:t>
      </w:r>
      <w:r w:rsidRPr="0077045A">
        <w:t>De Nederlandse bijdragen via het aandeelhoudersk</w:t>
      </w:r>
      <w:r>
        <w:t xml:space="preserve">apitaal, de IDA middelenaanvullingen en </w:t>
      </w:r>
      <w:r w:rsidRPr="00732698">
        <w:rPr>
          <w:i/>
        </w:rPr>
        <w:t>Trust Funds</w:t>
      </w:r>
      <w:r w:rsidRPr="0077045A">
        <w:t xml:space="preserve"> worden door de Bank verveelvoudigd, waardoor de uiteindelijke impact langs multilaterale weg vele malen groter uitpakt dan bilateraal mogelijk zou zijn. De Wereldbank blijft de belangrijkste en grootste speler op het gebied van ontwikkeling en daarmee onmisbaar voor het </w:t>
      </w:r>
      <w:r>
        <w:t>BH</w:t>
      </w:r>
      <w:r w:rsidRPr="0077045A">
        <w:t>OS-beleid van Nederland.</w:t>
      </w:r>
    </w:p>
    <w:p w14:paraId="53511E2D" w14:textId="77777777" w:rsidR="00C5757D" w:rsidRDefault="00C5757D" w:rsidP="007816ED"/>
    <w:p w14:paraId="17AFAEA5" w14:textId="16859F47" w:rsidR="00C5757D" w:rsidRDefault="00C5757D" w:rsidP="007816ED">
      <w:r>
        <w:t>Deze scorecard richt zich specifiek op de Wereldbank. Op een aantal onderdelen waar sprake is van gezamenlijk beleid en/of institutionele integratie, is het oordeel van toepassing op de WBG als geheel.</w:t>
      </w:r>
      <w:r w:rsidR="00232DB2">
        <w:t xml:space="preserve"> </w:t>
      </w:r>
      <w:r w:rsidR="00232DB2" w:rsidRPr="00232DB2">
        <w:t>Dit is ook het geval bij hoofdstuk 5 (relevantie van de organisatie), gezien de toenemende strategische samenwerking tussen Nederland en de WBG als geheel op enkele specifieke BHOS-prioriteiten.</w:t>
      </w:r>
    </w:p>
    <w:p w14:paraId="1F3C2BE1" w14:textId="77777777" w:rsidR="001E2549" w:rsidRDefault="001E2549" w:rsidP="007816ED"/>
    <w:p w14:paraId="49CBB912" w14:textId="181E5BF6" w:rsidR="00C5757D" w:rsidRDefault="00C5757D" w:rsidP="002D1811">
      <w:pPr>
        <w:pStyle w:val="Heading2"/>
        <w:numPr>
          <w:ilvl w:val="1"/>
          <w:numId w:val="43"/>
        </w:numPr>
        <w:tabs>
          <w:tab w:val="left" w:pos="-1162"/>
          <w:tab w:val="left" w:pos="0"/>
        </w:tabs>
        <w:spacing w:line="240" w:lineRule="auto"/>
      </w:pPr>
      <w:r>
        <w:t xml:space="preserve">       </w:t>
      </w:r>
      <w:bookmarkStart w:id="31" w:name="_Toc484612344"/>
      <w:bookmarkStart w:id="32" w:name="_Toc491439909"/>
      <w:r>
        <w:t>Organisatie, werkwijze en activiteiten</w:t>
      </w:r>
      <w:bookmarkEnd w:id="31"/>
      <w:bookmarkEnd w:id="32"/>
    </w:p>
    <w:p w14:paraId="1FB0654A" w14:textId="77777777" w:rsidR="00C5757D" w:rsidRPr="00CE397F" w:rsidRDefault="00C5757D" w:rsidP="007816ED">
      <w:r w:rsidRPr="00CE397F">
        <w:t xml:space="preserve">De Bank is als een coöperatieve bank georganiseerd. Aandeelhouders zijn de 189 lidstaten die tevens lid zijn van het IMF. Het hoogste besluitvormende en toezichthoudende orgaan is de Raad van Gouverneurs. Deze Raad komt tweemaal per jaar bijeen, tegelijkertijd met de Raad van Gouverneurs van het IMF. De gouverneurs zijn meestal de minister van Financiën of Ontwikkelingssamenwerking van een land. </w:t>
      </w:r>
    </w:p>
    <w:p w14:paraId="4D2A8F4A" w14:textId="77777777" w:rsidR="00C5757D" w:rsidRPr="00CE397F" w:rsidRDefault="00C5757D" w:rsidP="007816ED"/>
    <w:p w14:paraId="74C7E7B1" w14:textId="6AEC4060" w:rsidR="00C5757D" w:rsidRDefault="00C5757D" w:rsidP="007816ED">
      <w:r w:rsidRPr="00CE397F">
        <w:t>Het Dagelijks Bestuur van de Bank is in handen van het Management onder leiding van de president</w:t>
      </w:r>
      <w:r>
        <w:t xml:space="preserve"> </w:t>
      </w:r>
      <w:r w:rsidRPr="00CE397F">
        <w:t xml:space="preserve">sinds 1 juli 2012 de Amerikaan Jim </w:t>
      </w:r>
      <w:proofErr w:type="spellStart"/>
      <w:r w:rsidRPr="00CE397F">
        <w:t>Yong</w:t>
      </w:r>
      <w:proofErr w:type="spellEnd"/>
      <w:r w:rsidRPr="00CE397F">
        <w:t xml:space="preserve"> Kim. In 2016 is hij herkozen voor een nieuw mandaat van 2017 tot 2022. </w:t>
      </w:r>
      <w:r>
        <w:t xml:space="preserve">Sinds 1 januari 2017 is hier de nieuwe functie van CEO aan toegevoegd, welke door de Bulgaarse </w:t>
      </w:r>
      <w:proofErr w:type="spellStart"/>
      <w:r>
        <w:t>Kristalina</w:t>
      </w:r>
      <w:proofErr w:type="spellEnd"/>
      <w:r>
        <w:t xml:space="preserve"> </w:t>
      </w:r>
      <w:proofErr w:type="spellStart"/>
      <w:r>
        <w:t>Georgieva</w:t>
      </w:r>
      <w:proofErr w:type="spellEnd"/>
      <w:r>
        <w:t xml:space="preserve"> wordt bekleed. </w:t>
      </w:r>
      <w:r w:rsidRPr="00CE397F">
        <w:t>Toezicht op het Management is door de gouverneurs gedelegeerd aan de Raad van Bewindvoerders</w:t>
      </w:r>
      <w:r>
        <w:t xml:space="preserve">, die sinds </w:t>
      </w:r>
      <w:r w:rsidRPr="00CE397F">
        <w:t>november 2010 vijfentwintig zetels</w:t>
      </w:r>
      <w:r>
        <w:t xml:space="preserve"> telt</w:t>
      </w:r>
      <w:r w:rsidRPr="00CE397F">
        <w:t>. De</w:t>
      </w:r>
      <w:r>
        <w:t xml:space="preserve"> Raad van Bewindvoerders </w:t>
      </w:r>
      <w:r w:rsidRPr="00CE397F">
        <w:t>kiest de president, komt wekelijks verschillende malen bijeen onder voorzitterschap van de president</w:t>
      </w:r>
      <w:r>
        <w:t xml:space="preserve"> en </w:t>
      </w:r>
      <w:r w:rsidRPr="00CE397F">
        <w:t>keur</w:t>
      </w:r>
      <w:r>
        <w:t>t</w:t>
      </w:r>
      <w:r w:rsidRPr="00CE397F">
        <w:t xml:space="preserve"> individuele voorstellen voor leningen </w:t>
      </w:r>
      <w:r>
        <w:t xml:space="preserve">en beleidsrichtlijnen </w:t>
      </w:r>
      <w:r w:rsidRPr="00CE397F">
        <w:t>goed</w:t>
      </w:r>
      <w:r>
        <w:t xml:space="preserve">. </w:t>
      </w:r>
      <w:r w:rsidRPr="00CE397F">
        <w:t>Beslissingen kunnen worden genomen op basis van stemming maar geschieden doorgaans bij consensus. De Raad van Bewindvoerders heeft een adviserende rol waar het gaat om de formulering van beleid.</w:t>
      </w:r>
    </w:p>
    <w:p w14:paraId="34105B07" w14:textId="77777777" w:rsidR="00C5757D" w:rsidRDefault="00C5757D" w:rsidP="007816ED"/>
    <w:p w14:paraId="7280DA68" w14:textId="506734C9" w:rsidR="00C5757D" w:rsidRPr="00CE397F" w:rsidRDefault="00C5757D" w:rsidP="007816ED">
      <w:r w:rsidRPr="00CE397F">
        <w:t>De zes grootste aandeelhouders – de VS, Japan, China, Duitsland, Frankrijk en het VK – hebben het recht o</w:t>
      </w:r>
      <w:r>
        <w:t>p</w:t>
      </w:r>
      <w:r w:rsidRPr="00CE397F">
        <w:t xml:space="preserve"> </w:t>
      </w:r>
      <w:r>
        <w:t>een</w:t>
      </w:r>
      <w:r w:rsidRPr="00CE397F">
        <w:t xml:space="preserve"> eigen bewindvoerder. De overige leden zijn verenigd in kiesgroepen. Leden kiezen zelf hoe ze gegroepeerd willen zijn en wie als bewindvoerder de kiesgroep in de Raad vertegenwoordigt. Het stemgewicht van de bewindvoerders is gerelateerd aan het aandeel in het kapitaal van de Bank van de door hen vertegenwoordigde (kiesgroep)landen. De bewindvoerders </w:t>
      </w:r>
      <w:r>
        <w:t xml:space="preserve">zijn in dienst van </w:t>
      </w:r>
      <w:r w:rsidRPr="00CE397F">
        <w:t>de WBG</w:t>
      </w:r>
      <w:r>
        <w:t>.</w:t>
      </w:r>
    </w:p>
    <w:p w14:paraId="5447B0D4" w14:textId="77777777" w:rsidR="00C5757D" w:rsidRPr="00CE397F" w:rsidRDefault="00C5757D" w:rsidP="007816ED"/>
    <w:p w14:paraId="5D57A854" w14:textId="3B8ACEC5" w:rsidR="00C5757D" w:rsidRPr="00CE397F" w:rsidRDefault="00C5757D" w:rsidP="007816ED">
      <w:r w:rsidRPr="00CE397F">
        <w:t xml:space="preserve">De Bank streeft haar doelstellingen na door leningen, giften en garanties te verstrekken, beleidsadviezen te geven en technische assistentie te verlenen aan klantlanden. De IBRD </w:t>
      </w:r>
      <w:r>
        <w:t xml:space="preserve">trekt financiering aan van de kapitaalmarkt op basis van een solide </w:t>
      </w:r>
      <w:r w:rsidRPr="00162E32">
        <w:rPr>
          <w:i/>
        </w:rPr>
        <w:t>trip</w:t>
      </w:r>
      <w:r w:rsidR="004C4073">
        <w:rPr>
          <w:i/>
        </w:rPr>
        <w:t>l</w:t>
      </w:r>
      <w:r w:rsidRPr="00162E32">
        <w:rPr>
          <w:i/>
        </w:rPr>
        <w:t>e-A rating</w:t>
      </w:r>
      <w:r>
        <w:t xml:space="preserve">. De IBRD kan dit vervolgens uitlenen </w:t>
      </w:r>
      <w:r w:rsidRPr="00CE397F">
        <w:t>aan lage- en middeninkomenslanden en transitielanden die kredietwaardig zijn. De IBRD krijgt</w:t>
      </w:r>
      <w:r>
        <w:t xml:space="preserve"> inkomsten vooral </w:t>
      </w:r>
      <w:r w:rsidRPr="00CE397F">
        <w:t xml:space="preserve">via </w:t>
      </w:r>
      <w:r w:rsidR="004C4073" w:rsidRPr="00CE397F">
        <w:t>renteb</w:t>
      </w:r>
      <w:r w:rsidR="004C4073">
        <w:t>etalingen</w:t>
      </w:r>
      <w:r w:rsidRPr="00CE397F">
        <w:t xml:space="preserve"> op</w:t>
      </w:r>
      <w:r>
        <w:t xml:space="preserve"> leningen, maar ook uit advieswerk (</w:t>
      </w:r>
      <w:proofErr w:type="spellStart"/>
      <w:r w:rsidRPr="00E60CDD">
        <w:rPr>
          <w:i/>
        </w:rPr>
        <w:t>reimbursable</w:t>
      </w:r>
      <w:proofErr w:type="spellEnd"/>
      <w:r w:rsidRPr="00E60CDD">
        <w:rPr>
          <w:i/>
        </w:rPr>
        <w:t xml:space="preserve"> </w:t>
      </w:r>
      <w:proofErr w:type="spellStart"/>
      <w:r w:rsidRPr="00E60CDD">
        <w:rPr>
          <w:i/>
        </w:rPr>
        <w:t>advisory</w:t>
      </w:r>
      <w:proofErr w:type="spellEnd"/>
      <w:r w:rsidRPr="00E60CDD">
        <w:rPr>
          <w:i/>
        </w:rPr>
        <w:t xml:space="preserve"> services</w:t>
      </w:r>
      <w:r>
        <w:t>)</w:t>
      </w:r>
      <w:r w:rsidRPr="00CE397F">
        <w:t>. IDA verstrekt concessionele leningen en schenkingen aan de armste en niet-kredietwaardige landen. IDA verkrijgt middelen via bijdragen</w:t>
      </w:r>
      <w:r>
        <w:t xml:space="preserve"> en</w:t>
      </w:r>
      <w:r w:rsidRPr="00CE397F">
        <w:t xml:space="preserve"> leningen van ontwikkelde landen en uit afdrachten uit het netto-inkomen van de IBRD en IFC. Vanaf medio 2017 zal IDA voor het eerst financiering uit de kapitaalmarkt aantrekken op basis van haar in 2016 verkregen </w:t>
      </w:r>
      <w:r w:rsidRPr="00E43AF0">
        <w:rPr>
          <w:i/>
        </w:rPr>
        <w:t>triple-A</w:t>
      </w:r>
      <w:r w:rsidRPr="00CE397F">
        <w:t xml:space="preserve"> status. </w:t>
      </w:r>
      <w:r w:rsidRPr="00CE397F">
        <w:lastRenderedPageBreak/>
        <w:t xml:space="preserve">Sommige landen komen in aanmerking voor leningen van zowel IBRD als IDA en worden </w:t>
      </w:r>
      <w:r w:rsidRPr="00732698">
        <w:rPr>
          <w:i/>
        </w:rPr>
        <w:t xml:space="preserve">blend </w:t>
      </w:r>
      <w:proofErr w:type="spellStart"/>
      <w:r w:rsidRPr="00732698">
        <w:rPr>
          <w:i/>
        </w:rPr>
        <w:t>countries</w:t>
      </w:r>
      <w:proofErr w:type="spellEnd"/>
      <w:r w:rsidRPr="00CE397F">
        <w:t xml:space="preserve"> genoemd. Deze mix van interventies sluit goed aan bij de transitie-agenda “van hulp naar handel”.</w:t>
      </w:r>
    </w:p>
    <w:p w14:paraId="06E18D43" w14:textId="77777777" w:rsidR="00C5757D" w:rsidRPr="00CE397F" w:rsidRDefault="00C5757D" w:rsidP="007816ED"/>
    <w:p w14:paraId="15F508A7" w14:textId="13896FD9" w:rsidR="00C5757D" w:rsidRDefault="00C5757D" w:rsidP="007816ED">
      <w:pPr>
        <w:rPr>
          <w:rFonts w:cs="OpenSans-Semibold"/>
          <w:bCs/>
          <w:color w:val="000000"/>
          <w:szCs w:val="52"/>
        </w:rPr>
      </w:pPr>
      <w:r w:rsidRPr="00CE397F">
        <w:rPr>
          <w:rFonts w:cs="OpenSans-Semibold"/>
          <w:bCs/>
          <w:color w:val="000000"/>
          <w:szCs w:val="52"/>
        </w:rPr>
        <w:t xml:space="preserve">De evaluaties van de </w:t>
      </w:r>
      <w:r w:rsidRPr="00732698">
        <w:rPr>
          <w:i/>
        </w:rPr>
        <w:t>Independent Evaluation Group</w:t>
      </w:r>
      <w:r w:rsidRPr="00CE397F">
        <w:rPr>
          <w:rFonts w:cs="OpenSans-Semibold"/>
          <w:bCs/>
          <w:color w:val="000000"/>
          <w:szCs w:val="52"/>
        </w:rPr>
        <w:t xml:space="preserve"> (IEG) zijn van hoge kwaliteit en vormen de basis voor beleidsontwikkeling en –herziening van de WBG en daarbuiten. </w:t>
      </w:r>
      <w:r w:rsidRPr="00290199">
        <w:t xml:space="preserve">De IEG publiceerde </w:t>
      </w:r>
      <w:r>
        <w:t xml:space="preserve">in het recente verleden </w:t>
      </w:r>
      <w:r w:rsidRPr="00290199">
        <w:t xml:space="preserve">onder meer de beleidsevaluaties </w:t>
      </w:r>
      <w:r w:rsidRPr="00290199">
        <w:rPr>
          <w:i/>
        </w:rPr>
        <w:t xml:space="preserve">World Bank Group Engagement in </w:t>
      </w:r>
      <w:proofErr w:type="spellStart"/>
      <w:r w:rsidRPr="00290199">
        <w:rPr>
          <w:i/>
        </w:rPr>
        <w:t>situations</w:t>
      </w:r>
      <w:proofErr w:type="spellEnd"/>
      <w:r w:rsidRPr="00290199">
        <w:rPr>
          <w:i/>
        </w:rPr>
        <w:t xml:space="preserve"> of </w:t>
      </w:r>
      <w:proofErr w:type="spellStart"/>
      <w:r w:rsidRPr="00290199">
        <w:rPr>
          <w:i/>
        </w:rPr>
        <w:t>Fragility</w:t>
      </w:r>
      <w:proofErr w:type="spellEnd"/>
      <w:r w:rsidRPr="00290199">
        <w:rPr>
          <w:i/>
        </w:rPr>
        <w:t xml:space="preserve">, Conflict </w:t>
      </w:r>
      <w:proofErr w:type="spellStart"/>
      <w:r w:rsidRPr="00290199">
        <w:rPr>
          <w:i/>
        </w:rPr>
        <w:t>and</w:t>
      </w:r>
      <w:proofErr w:type="spellEnd"/>
      <w:r w:rsidRPr="00290199">
        <w:rPr>
          <w:i/>
        </w:rPr>
        <w:t xml:space="preserve"> </w:t>
      </w:r>
      <w:proofErr w:type="spellStart"/>
      <w:r w:rsidRPr="00290199">
        <w:rPr>
          <w:i/>
        </w:rPr>
        <w:t>Violence</w:t>
      </w:r>
      <w:proofErr w:type="spellEnd"/>
      <w:r w:rsidRPr="00290199">
        <w:t xml:space="preserve">, en </w:t>
      </w:r>
      <w:proofErr w:type="spellStart"/>
      <w:r w:rsidRPr="00290199">
        <w:rPr>
          <w:i/>
        </w:rPr>
        <w:t>Results</w:t>
      </w:r>
      <w:proofErr w:type="spellEnd"/>
      <w:r w:rsidRPr="00290199">
        <w:rPr>
          <w:i/>
        </w:rPr>
        <w:t xml:space="preserve"> </w:t>
      </w:r>
      <w:proofErr w:type="spellStart"/>
      <w:r w:rsidRPr="00290199">
        <w:rPr>
          <w:i/>
        </w:rPr>
        <w:t>and</w:t>
      </w:r>
      <w:proofErr w:type="spellEnd"/>
      <w:r w:rsidRPr="00290199">
        <w:rPr>
          <w:i/>
        </w:rPr>
        <w:t xml:space="preserve"> Performance (RAP) of </w:t>
      </w:r>
      <w:proofErr w:type="spellStart"/>
      <w:r w:rsidRPr="00290199">
        <w:rPr>
          <w:i/>
        </w:rPr>
        <w:t>the</w:t>
      </w:r>
      <w:proofErr w:type="spellEnd"/>
      <w:r w:rsidRPr="00290199">
        <w:rPr>
          <w:i/>
        </w:rPr>
        <w:t xml:space="preserve"> World Bank Group in 2016.</w:t>
      </w:r>
      <w:r w:rsidRPr="00290199">
        <w:t xml:space="preserve"> </w:t>
      </w:r>
      <w:r w:rsidRPr="00695BB0">
        <w:rPr>
          <w:rFonts w:cs="OpenSans-Semibold"/>
          <w:bCs/>
          <w:color w:val="000000"/>
          <w:szCs w:val="52"/>
        </w:rPr>
        <w:t>De beleidsevaluatie van interventies in fragiele landen concludeerde onder meer dat fragiliteitsassessments beter geïntegreerd moeten worden in de programma</w:t>
      </w:r>
      <w:r>
        <w:rPr>
          <w:rFonts w:cs="OpenSans-Semibold"/>
          <w:bCs/>
          <w:color w:val="000000"/>
          <w:szCs w:val="52"/>
        </w:rPr>
        <w:t>’</w:t>
      </w:r>
      <w:r w:rsidRPr="00695BB0">
        <w:rPr>
          <w:rFonts w:cs="OpenSans-Semibold"/>
          <w:bCs/>
          <w:color w:val="000000"/>
          <w:szCs w:val="52"/>
        </w:rPr>
        <w:t>s</w:t>
      </w:r>
      <w:r>
        <w:rPr>
          <w:rFonts w:cs="OpenSans-Semibold"/>
          <w:bCs/>
          <w:color w:val="000000"/>
          <w:szCs w:val="52"/>
        </w:rPr>
        <w:t xml:space="preserve"> van middeninkomenslanden</w:t>
      </w:r>
      <w:r w:rsidRPr="00695BB0">
        <w:rPr>
          <w:rFonts w:cs="OpenSans-Semibold"/>
          <w:bCs/>
          <w:color w:val="000000"/>
          <w:szCs w:val="52"/>
        </w:rPr>
        <w:t xml:space="preserve">. De RAP van 2016 concludeerde dat de WBG een sterke </w:t>
      </w:r>
      <w:r w:rsidRPr="00695BB0">
        <w:rPr>
          <w:rFonts w:cs="OpenSans-Semibold"/>
          <w:bCs/>
          <w:i/>
          <w:color w:val="000000"/>
          <w:szCs w:val="52"/>
        </w:rPr>
        <w:t>track record</w:t>
      </w:r>
      <w:r w:rsidRPr="00695BB0">
        <w:rPr>
          <w:rFonts w:cs="OpenSans-Semibold"/>
          <w:bCs/>
          <w:color w:val="000000"/>
          <w:szCs w:val="52"/>
        </w:rPr>
        <w:t xml:space="preserve"> heeft op het gebied van </w:t>
      </w:r>
      <w:r>
        <w:rPr>
          <w:rFonts w:cs="OpenSans-Semibold"/>
          <w:bCs/>
          <w:i/>
          <w:color w:val="000000"/>
          <w:szCs w:val="52"/>
        </w:rPr>
        <w:t xml:space="preserve">Managing </w:t>
      </w:r>
      <w:proofErr w:type="spellStart"/>
      <w:r>
        <w:rPr>
          <w:rFonts w:cs="OpenSans-Semibold"/>
          <w:bCs/>
          <w:i/>
          <w:color w:val="000000"/>
          <w:szCs w:val="52"/>
        </w:rPr>
        <w:t>for</w:t>
      </w:r>
      <w:proofErr w:type="spellEnd"/>
      <w:r>
        <w:rPr>
          <w:rFonts w:cs="OpenSans-Semibold"/>
          <w:bCs/>
          <w:i/>
          <w:color w:val="000000"/>
          <w:szCs w:val="52"/>
        </w:rPr>
        <w:t xml:space="preserve"> </w:t>
      </w:r>
      <w:proofErr w:type="spellStart"/>
      <w:r>
        <w:rPr>
          <w:rFonts w:cs="OpenSans-Semibold"/>
          <w:bCs/>
          <w:i/>
          <w:color w:val="000000"/>
          <w:szCs w:val="52"/>
        </w:rPr>
        <w:t>Results</w:t>
      </w:r>
      <w:proofErr w:type="spellEnd"/>
      <w:r>
        <w:rPr>
          <w:rFonts w:cs="OpenSans-Semibold"/>
          <w:bCs/>
          <w:i/>
          <w:color w:val="000000"/>
          <w:szCs w:val="52"/>
        </w:rPr>
        <w:t xml:space="preserve"> </w:t>
      </w:r>
      <w:r w:rsidRPr="00695BB0">
        <w:rPr>
          <w:rFonts w:cs="OpenSans-Semibold"/>
          <w:bCs/>
          <w:color w:val="000000"/>
          <w:szCs w:val="52"/>
        </w:rPr>
        <w:t>(M4R)</w:t>
      </w:r>
      <w:r>
        <w:rPr>
          <w:rFonts w:cs="OpenSans-Semibold"/>
          <w:bCs/>
          <w:color w:val="000000"/>
          <w:szCs w:val="52"/>
        </w:rPr>
        <w:t xml:space="preserve">. Geleerde lessen en </w:t>
      </w:r>
      <w:r w:rsidRPr="00E07BFF">
        <w:rPr>
          <w:rFonts w:cs="OpenSans-Semibold"/>
          <w:bCs/>
          <w:i/>
          <w:color w:val="000000"/>
          <w:szCs w:val="52"/>
        </w:rPr>
        <w:t xml:space="preserve">best </w:t>
      </w:r>
      <w:proofErr w:type="spellStart"/>
      <w:r w:rsidRPr="00E07BFF">
        <w:rPr>
          <w:rFonts w:cs="OpenSans-Semibold"/>
          <w:bCs/>
          <w:i/>
          <w:color w:val="000000"/>
          <w:szCs w:val="52"/>
        </w:rPr>
        <w:t>practices</w:t>
      </w:r>
      <w:proofErr w:type="spellEnd"/>
      <w:r>
        <w:rPr>
          <w:rFonts w:cs="OpenSans-Semibold"/>
          <w:bCs/>
          <w:color w:val="000000"/>
          <w:szCs w:val="52"/>
        </w:rPr>
        <w:t xml:space="preserve"> zouden echter nog meer aan de basis moeten staan van eventueel benodigde bijstellingen van programma’s. Een betere integratie van M4R in de leerprocessen binnen de organisatie is hierbij essentieel.</w:t>
      </w:r>
    </w:p>
    <w:p w14:paraId="1A94870A" w14:textId="77777777" w:rsidR="001E2549" w:rsidRPr="009C4AAC" w:rsidRDefault="001E2549" w:rsidP="007816ED"/>
    <w:p w14:paraId="7459A2D1" w14:textId="63272EC5" w:rsidR="00C5757D" w:rsidRDefault="00C5757D" w:rsidP="007816ED">
      <w:pPr>
        <w:pStyle w:val="Heading2"/>
        <w:tabs>
          <w:tab w:val="left" w:pos="-1162"/>
          <w:tab w:val="left" w:pos="0"/>
          <w:tab w:val="num" w:pos="1160"/>
        </w:tabs>
        <w:spacing w:line="240" w:lineRule="auto"/>
        <w:ind w:hanging="1162"/>
      </w:pPr>
      <w:bookmarkStart w:id="33" w:name="_Toc484612345"/>
      <w:bookmarkStart w:id="34" w:name="_Toc491439910"/>
      <w:r>
        <w:t xml:space="preserve">3.3 </w:t>
      </w:r>
      <w:r>
        <w:tab/>
        <w:t>Nederlandse rol en invloed</w:t>
      </w:r>
      <w:bookmarkEnd w:id="33"/>
      <w:bookmarkEnd w:id="34"/>
    </w:p>
    <w:p w14:paraId="6FFEE603" w14:textId="2A2E5D9F" w:rsidR="00C5757D" w:rsidRDefault="00C5757D" w:rsidP="007816ED">
      <w:r>
        <w:t>De Nederlandse Gouverneur is de Minister van Financiën. Zijn plaatsvervanger is de Minister voor Buitenlandse Handel en Ontwikkelingssamenwerking. Nederland levert de bewindvoerder van de kiesgroep waarin Nederland als grootste aandeelhouder dertien landen</w:t>
      </w:r>
      <w:r>
        <w:rPr>
          <w:rStyle w:val="FootnoteReference"/>
        </w:rPr>
        <w:footnoteReference w:id="4"/>
      </w:r>
      <w:r>
        <w:t xml:space="preserve"> vertegenwoordigt. De Nederlandse kiesgroep heeft 4,10% stemaandeel, waarbij Nederland iets minder dan de helft van het stemgewicht vertegenwoordigt.</w:t>
      </w:r>
    </w:p>
    <w:p w14:paraId="20CB0005" w14:textId="77777777" w:rsidR="00C5757D" w:rsidRDefault="00C5757D" w:rsidP="007816ED"/>
    <w:p w14:paraId="26CC8E45" w14:textId="5183EF61" w:rsidR="00C5757D" w:rsidRDefault="00C5757D" w:rsidP="007816ED">
      <w:r>
        <w:t xml:space="preserve">De Nederlandse bewindvoerder wordt ondersteund door een </w:t>
      </w:r>
      <w:proofErr w:type="spellStart"/>
      <w:r>
        <w:t>kiesgroepkantoor</w:t>
      </w:r>
      <w:proofErr w:type="spellEnd"/>
      <w:r>
        <w:t xml:space="preserve"> dat bestaat uit een plaatsvervanger en een staf van acht adviseurs. Twee adviseurs zijn Nederlander, afkomstig van de ministeries van Buitenlandse Zaken en Financiën. De plaatsvervanger en de andere adviseurs zijn afkomstig uit de overige </w:t>
      </w:r>
      <w:proofErr w:type="spellStart"/>
      <w:r>
        <w:t>kiesgroeplanden</w:t>
      </w:r>
      <w:proofErr w:type="spellEnd"/>
      <w:r>
        <w:t xml:space="preserve">. </w:t>
      </w:r>
      <w:r w:rsidRPr="00670D4C">
        <w:t xml:space="preserve">De Nederlandse bewindvoerder was van 2014 tot 2016 voorzitter van </w:t>
      </w:r>
      <w:r>
        <w:t>de</w:t>
      </w:r>
      <w:r w:rsidRPr="00670D4C">
        <w:t xml:space="preserve"> Audit Com</w:t>
      </w:r>
      <w:r>
        <w:t>m</w:t>
      </w:r>
      <w:r w:rsidRPr="00670D4C">
        <w:t>i</w:t>
      </w:r>
      <w:r>
        <w:t>ssie,</w:t>
      </w:r>
      <w:r w:rsidRPr="00670D4C">
        <w:t xml:space="preserve"> en momenteel </w:t>
      </w:r>
      <w:r w:rsidR="00307D86">
        <w:t>vicevoorzitter</w:t>
      </w:r>
      <w:r>
        <w:t xml:space="preserve"> van de Audit Commissie en </w:t>
      </w:r>
      <w:r w:rsidRPr="00670D4C">
        <w:t xml:space="preserve">lid van </w:t>
      </w:r>
      <w:r>
        <w:t xml:space="preserve">de </w:t>
      </w:r>
      <w:r w:rsidRPr="00A35972">
        <w:rPr>
          <w:i/>
        </w:rPr>
        <w:t>Human Resources</w:t>
      </w:r>
      <w:r w:rsidRPr="00670D4C">
        <w:t xml:space="preserve"> </w:t>
      </w:r>
      <w:r w:rsidR="00307D86" w:rsidRPr="00670D4C">
        <w:t>Comm</w:t>
      </w:r>
      <w:r w:rsidR="00307D86">
        <w:t>issie</w:t>
      </w:r>
      <w:r w:rsidRPr="00670D4C">
        <w:t>.</w:t>
      </w:r>
      <w:r w:rsidRPr="00732698">
        <w:t xml:space="preserve"> </w:t>
      </w:r>
      <w:r>
        <w:t>Alle commissies, zoals ook de Commissie voor Ontwikkelingseffectiviteit en de Budgetco</w:t>
      </w:r>
      <w:r w:rsidR="00E671F4">
        <w:t>m</w:t>
      </w:r>
      <w:r>
        <w:t xml:space="preserve">missie, rapporteren aan </w:t>
      </w:r>
      <w:r w:rsidRPr="00670D4C">
        <w:t>de Raad van Bewindvoerders</w:t>
      </w:r>
      <w:r>
        <w:t>.</w:t>
      </w:r>
    </w:p>
    <w:p w14:paraId="107AA75D" w14:textId="77777777" w:rsidR="00C5757D" w:rsidRDefault="00C5757D" w:rsidP="007816ED"/>
    <w:p w14:paraId="15446954" w14:textId="77777777" w:rsidR="00CB1A14" w:rsidRDefault="00C5757D" w:rsidP="007816ED">
      <w:r>
        <w:t>Binnen de WBG vindt er EU-afstemming</w:t>
      </w:r>
      <w:r w:rsidRPr="00EF563E">
        <w:t xml:space="preserve"> plaats onder leiding van het land dat het EU-voorzitterschap draagt. Deze organiseert wekelijks een vergadering waarin agendapunten van verschillende </w:t>
      </w:r>
      <w:r>
        <w:t>Board-</w:t>
      </w:r>
      <w:r w:rsidRPr="00EF563E">
        <w:t xml:space="preserve">vergaderingen worden besproken. Daarnaast </w:t>
      </w:r>
      <w:r>
        <w:t xml:space="preserve">voeren </w:t>
      </w:r>
      <w:r w:rsidRPr="00EF563E">
        <w:t xml:space="preserve">de Europese bewindvoerders jaarlijks </w:t>
      </w:r>
      <w:r>
        <w:t>overleg in Bru</w:t>
      </w:r>
      <w:r w:rsidR="00CB1A14">
        <w:t>ssel met de Europese Commissie.</w:t>
      </w:r>
    </w:p>
    <w:p w14:paraId="41A73E99" w14:textId="77777777" w:rsidR="00CB1A14" w:rsidRDefault="00CB1A14">
      <w:pPr>
        <w:spacing w:line="240" w:lineRule="auto"/>
      </w:pPr>
      <w:r>
        <w:br w:type="page"/>
      </w:r>
    </w:p>
    <w:p w14:paraId="005FDD11" w14:textId="23F81C58" w:rsidR="00C5757D" w:rsidRPr="00CE397F" w:rsidRDefault="00C5757D" w:rsidP="007816ED">
      <w:pPr>
        <w:pStyle w:val="Heading2"/>
        <w:tabs>
          <w:tab w:val="left" w:pos="-1162"/>
          <w:tab w:val="left" w:pos="0"/>
          <w:tab w:val="num" w:pos="1160"/>
        </w:tabs>
        <w:spacing w:line="240" w:lineRule="auto"/>
        <w:ind w:hanging="1162"/>
      </w:pPr>
      <w:bookmarkStart w:id="35" w:name="_Toc484612346"/>
      <w:bookmarkStart w:id="36" w:name="_Toc491439911"/>
      <w:r>
        <w:lastRenderedPageBreak/>
        <w:t>3.4</w:t>
      </w:r>
      <w:r>
        <w:tab/>
      </w:r>
      <w:r w:rsidRPr="00CE397F">
        <w:t>Financiële omvang en bijdragen</w:t>
      </w:r>
      <w:r>
        <w:rPr>
          <w:rStyle w:val="FootnoteReference"/>
        </w:rPr>
        <w:footnoteReference w:id="5"/>
      </w:r>
      <w:bookmarkEnd w:id="35"/>
      <w:bookmarkEnd w:id="36"/>
      <w:r w:rsidR="006D45A6">
        <w:t xml:space="preserve"> </w:t>
      </w:r>
    </w:p>
    <w:p w14:paraId="22FDEDE3" w14:textId="77777777" w:rsidR="001E2549" w:rsidRDefault="001E2549" w:rsidP="002D1811">
      <w:pPr>
        <w:ind w:firstLine="227"/>
      </w:pPr>
    </w:p>
    <w:p w14:paraId="5D3E6990" w14:textId="160D9AF2" w:rsidR="00C5757D" w:rsidRDefault="00C5757D" w:rsidP="002D1811">
      <w:pPr>
        <w:ind w:firstLine="227"/>
      </w:pPr>
      <w:r>
        <w:t>Financieel overzicht</w:t>
      </w:r>
      <w:r w:rsidR="008C4116">
        <w:t xml:space="preserve"> (in USD)</w:t>
      </w:r>
    </w:p>
    <w:p w14:paraId="71F27A59" w14:textId="77777777" w:rsidR="00E671F4" w:rsidRPr="00CE397F" w:rsidRDefault="00E671F4" w:rsidP="002D1811">
      <w:pPr>
        <w:ind w:firstLine="227"/>
      </w:pPr>
    </w:p>
    <w:tbl>
      <w:tblPr>
        <w:tblW w:w="751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544"/>
        <w:gridCol w:w="1843"/>
        <w:gridCol w:w="2126"/>
      </w:tblGrid>
      <w:tr w:rsidR="00C5757D" w:rsidRPr="00CE397F" w14:paraId="776C20D1" w14:textId="77777777" w:rsidTr="00E671F4">
        <w:tc>
          <w:tcPr>
            <w:tcW w:w="3544" w:type="dxa"/>
            <w:tcBorders>
              <w:top w:val="single" w:sz="12" w:space="0" w:color="auto"/>
              <w:bottom w:val="single" w:sz="12" w:space="0" w:color="auto"/>
            </w:tcBorders>
            <w:shd w:val="clear" w:color="auto" w:fill="D9D9D9" w:themeFill="background1" w:themeFillShade="D9"/>
          </w:tcPr>
          <w:p w14:paraId="2515DBC3" w14:textId="77777777" w:rsidR="00C5757D" w:rsidRPr="00CE397F" w:rsidRDefault="00C5757D" w:rsidP="007816ED"/>
        </w:tc>
        <w:tc>
          <w:tcPr>
            <w:tcW w:w="1843" w:type="dxa"/>
            <w:tcBorders>
              <w:top w:val="single" w:sz="12" w:space="0" w:color="auto"/>
              <w:bottom w:val="single" w:sz="12" w:space="0" w:color="auto"/>
            </w:tcBorders>
            <w:shd w:val="clear" w:color="auto" w:fill="D9D9D9" w:themeFill="background1" w:themeFillShade="D9"/>
          </w:tcPr>
          <w:p w14:paraId="529C808F" w14:textId="77777777" w:rsidR="00C5757D" w:rsidRPr="00CE397F" w:rsidRDefault="00C5757D" w:rsidP="007816ED">
            <w:r w:rsidRPr="00CE397F">
              <w:t>Bank - IBRD</w:t>
            </w:r>
          </w:p>
        </w:tc>
        <w:tc>
          <w:tcPr>
            <w:tcW w:w="2126" w:type="dxa"/>
            <w:tcBorders>
              <w:top w:val="single" w:sz="12" w:space="0" w:color="auto"/>
              <w:bottom w:val="single" w:sz="12" w:space="0" w:color="auto"/>
            </w:tcBorders>
            <w:shd w:val="clear" w:color="auto" w:fill="D9D9D9" w:themeFill="background1" w:themeFillShade="D9"/>
          </w:tcPr>
          <w:p w14:paraId="58FCDB0B" w14:textId="77777777" w:rsidR="00C5757D" w:rsidRPr="00CE397F" w:rsidRDefault="00C5757D" w:rsidP="007816ED">
            <w:r w:rsidRPr="00CE397F">
              <w:t>Fonds / zachte leningen loket - IDA</w:t>
            </w:r>
          </w:p>
        </w:tc>
      </w:tr>
      <w:tr w:rsidR="00C5757D" w:rsidRPr="00CE397F" w14:paraId="029B41C1" w14:textId="77777777" w:rsidTr="00E671F4">
        <w:tc>
          <w:tcPr>
            <w:tcW w:w="3544" w:type="dxa"/>
            <w:tcBorders>
              <w:top w:val="single" w:sz="12" w:space="0" w:color="auto"/>
            </w:tcBorders>
            <w:shd w:val="clear" w:color="auto" w:fill="auto"/>
          </w:tcPr>
          <w:p w14:paraId="0A33DA61" w14:textId="77777777" w:rsidR="00C5757D" w:rsidRPr="00CE397F" w:rsidRDefault="00C5757D" w:rsidP="007816ED">
            <w:r w:rsidRPr="00CE397F">
              <w:rPr>
                <w:szCs w:val="18"/>
                <w:lang w:eastAsia="zh-CN"/>
              </w:rPr>
              <w:t>Verstrekte schenkingen in 2015/16</w:t>
            </w:r>
          </w:p>
        </w:tc>
        <w:tc>
          <w:tcPr>
            <w:tcW w:w="1843" w:type="dxa"/>
            <w:tcBorders>
              <w:top w:val="single" w:sz="12" w:space="0" w:color="auto"/>
            </w:tcBorders>
            <w:shd w:val="clear" w:color="auto" w:fill="auto"/>
          </w:tcPr>
          <w:p w14:paraId="024D76CF" w14:textId="77777777" w:rsidR="00C5757D" w:rsidRPr="00CE397F" w:rsidRDefault="00C5757D" w:rsidP="007816ED">
            <w:pPr>
              <w:jc w:val="right"/>
            </w:pPr>
            <w:r w:rsidRPr="00CE397F">
              <w:t>-</w:t>
            </w:r>
          </w:p>
        </w:tc>
        <w:tc>
          <w:tcPr>
            <w:tcW w:w="2126" w:type="dxa"/>
            <w:tcBorders>
              <w:top w:val="single" w:sz="12" w:space="0" w:color="auto"/>
            </w:tcBorders>
            <w:shd w:val="clear" w:color="auto" w:fill="auto"/>
          </w:tcPr>
          <w:p w14:paraId="70D3A62F" w14:textId="77777777" w:rsidR="00C5757D" w:rsidRPr="00CE397F" w:rsidRDefault="00C5757D" w:rsidP="007816ED">
            <w:pPr>
              <w:jc w:val="right"/>
            </w:pPr>
            <w:r w:rsidRPr="00CE397F">
              <w:t>1,7 miljard</w:t>
            </w:r>
          </w:p>
        </w:tc>
      </w:tr>
      <w:tr w:rsidR="00C5757D" w:rsidRPr="00CE397F" w14:paraId="0D223F59" w14:textId="77777777" w:rsidTr="00E671F4">
        <w:tc>
          <w:tcPr>
            <w:tcW w:w="3544" w:type="dxa"/>
            <w:shd w:val="clear" w:color="auto" w:fill="auto"/>
          </w:tcPr>
          <w:p w14:paraId="19364A14" w14:textId="77777777" w:rsidR="00C5757D" w:rsidRPr="00CE397F" w:rsidRDefault="00C5757D" w:rsidP="007816ED">
            <w:r w:rsidRPr="00CE397F">
              <w:rPr>
                <w:szCs w:val="18"/>
                <w:lang w:eastAsia="zh-CN"/>
              </w:rPr>
              <w:t>Bijdrage aan schuldverlichting (HIPC)</w:t>
            </w:r>
          </w:p>
        </w:tc>
        <w:tc>
          <w:tcPr>
            <w:tcW w:w="1843" w:type="dxa"/>
            <w:shd w:val="clear" w:color="auto" w:fill="auto"/>
          </w:tcPr>
          <w:p w14:paraId="52C4A740" w14:textId="77777777" w:rsidR="00C5757D" w:rsidRPr="00CE397F" w:rsidRDefault="00C5757D" w:rsidP="007816ED">
            <w:pPr>
              <w:jc w:val="right"/>
            </w:pPr>
            <w:r w:rsidRPr="00CE397F">
              <w:t>-</w:t>
            </w:r>
          </w:p>
        </w:tc>
        <w:tc>
          <w:tcPr>
            <w:tcW w:w="2126" w:type="dxa"/>
            <w:shd w:val="clear" w:color="auto" w:fill="auto"/>
          </w:tcPr>
          <w:p w14:paraId="5D5125C1" w14:textId="77777777" w:rsidR="00C5757D" w:rsidRPr="00CE397F" w:rsidRDefault="00C5757D" w:rsidP="007816ED">
            <w:pPr>
              <w:jc w:val="right"/>
            </w:pPr>
            <w:r w:rsidRPr="00CE397F">
              <w:t>11 miljoen</w:t>
            </w:r>
          </w:p>
        </w:tc>
      </w:tr>
      <w:tr w:rsidR="008C4116" w:rsidRPr="00CE397F" w14:paraId="53AF23AD" w14:textId="77777777" w:rsidTr="00E671F4">
        <w:tc>
          <w:tcPr>
            <w:tcW w:w="3544" w:type="dxa"/>
            <w:shd w:val="clear" w:color="auto" w:fill="auto"/>
          </w:tcPr>
          <w:p w14:paraId="27DA037D" w14:textId="6EF1EA27" w:rsidR="008C4116" w:rsidRPr="00CE397F" w:rsidRDefault="008C4116" w:rsidP="007816ED">
            <w:pPr>
              <w:rPr>
                <w:szCs w:val="18"/>
                <w:lang w:eastAsia="zh-CN"/>
              </w:rPr>
            </w:pPr>
            <w:r>
              <w:rPr>
                <w:szCs w:val="18"/>
                <w:lang w:eastAsia="zh-CN"/>
              </w:rPr>
              <w:t>Bijdrage aan IDA18 (2017-20)</w:t>
            </w:r>
          </w:p>
        </w:tc>
        <w:tc>
          <w:tcPr>
            <w:tcW w:w="1843" w:type="dxa"/>
            <w:shd w:val="clear" w:color="auto" w:fill="auto"/>
          </w:tcPr>
          <w:p w14:paraId="71C49F95" w14:textId="070BCD7B" w:rsidR="008C4116" w:rsidRPr="00CE397F" w:rsidRDefault="007B72E3" w:rsidP="007816ED">
            <w:pPr>
              <w:jc w:val="right"/>
            </w:pPr>
            <w:r>
              <w:t>-</w:t>
            </w:r>
          </w:p>
        </w:tc>
        <w:tc>
          <w:tcPr>
            <w:tcW w:w="2126" w:type="dxa"/>
            <w:shd w:val="clear" w:color="auto" w:fill="auto"/>
          </w:tcPr>
          <w:p w14:paraId="1F2B1AC8" w14:textId="6A606A61" w:rsidR="008C4116" w:rsidRPr="00CE397F" w:rsidRDefault="008C4116" w:rsidP="007816ED">
            <w:pPr>
              <w:jc w:val="right"/>
            </w:pPr>
            <w:r>
              <w:t>690 miljoen</w:t>
            </w:r>
          </w:p>
        </w:tc>
      </w:tr>
      <w:tr w:rsidR="00C5757D" w:rsidRPr="00CE397F" w14:paraId="3C40712D" w14:textId="77777777" w:rsidTr="00E671F4">
        <w:tc>
          <w:tcPr>
            <w:tcW w:w="3544" w:type="dxa"/>
            <w:shd w:val="clear" w:color="auto" w:fill="auto"/>
          </w:tcPr>
          <w:p w14:paraId="75E4F1D3" w14:textId="77777777" w:rsidR="00C5757D" w:rsidRPr="00CE397F" w:rsidRDefault="00C5757D" w:rsidP="007816ED">
            <w:r w:rsidRPr="00CE397F">
              <w:rPr>
                <w:szCs w:val="18"/>
                <w:lang w:eastAsia="zh-CN"/>
              </w:rPr>
              <w:t>Uitgekeerde leningen in 2015/16</w:t>
            </w:r>
          </w:p>
        </w:tc>
        <w:tc>
          <w:tcPr>
            <w:tcW w:w="1843" w:type="dxa"/>
            <w:shd w:val="clear" w:color="auto" w:fill="auto"/>
          </w:tcPr>
          <w:p w14:paraId="6B1E2A34" w14:textId="77777777" w:rsidR="00C5757D" w:rsidRPr="00CE397F" w:rsidRDefault="00C5757D" w:rsidP="007816ED">
            <w:pPr>
              <w:jc w:val="right"/>
            </w:pPr>
            <w:r w:rsidRPr="00CE397F">
              <w:t>23 miljard</w:t>
            </w:r>
          </w:p>
        </w:tc>
        <w:tc>
          <w:tcPr>
            <w:tcW w:w="2126" w:type="dxa"/>
            <w:shd w:val="clear" w:color="auto" w:fill="auto"/>
          </w:tcPr>
          <w:p w14:paraId="7F460526" w14:textId="77777777" w:rsidR="00C5757D" w:rsidRPr="00CE397F" w:rsidRDefault="00C5757D" w:rsidP="007816ED">
            <w:pPr>
              <w:jc w:val="right"/>
            </w:pPr>
            <w:r w:rsidRPr="00CE397F">
              <w:t>11,5 miljard</w:t>
            </w:r>
          </w:p>
        </w:tc>
      </w:tr>
      <w:tr w:rsidR="00C5757D" w:rsidRPr="00CE397F" w14:paraId="30B927B7" w14:textId="77777777" w:rsidTr="00E671F4">
        <w:tc>
          <w:tcPr>
            <w:tcW w:w="3544" w:type="dxa"/>
            <w:shd w:val="clear" w:color="auto" w:fill="auto"/>
          </w:tcPr>
          <w:p w14:paraId="54B864BA" w14:textId="25AE3464" w:rsidR="00C5757D" w:rsidRDefault="00C5757D" w:rsidP="007816ED">
            <w:pPr>
              <w:rPr>
                <w:szCs w:val="18"/>
                <w:lang w:eastAsia="zh-CN"/>
              </w:rPr>
            </w:pPr>
            <w:r w:rsidRPr="00CE397F">
              <w:rPr>
                <w:szCs w:val="18"/>
                <w:lang w:eastAsia="zh-CN"/>
              </w:rPr>
              <w:t xml:space="preserve">Totaal </w:t>
            </w:r>
            <w:r w:rsidR="00C55098">
              <w:rPr>
                <w:szCs w:val="18"/>
                <w:lang w:eastAsia="zh-CN"/>
              </w:rPr>
              <w:t>(aandelen)</w:t>
            </w:r>
            <w:r w:rsidRPr="00CE397F">
              <w:rPr>
                <w:szCs w:val="18"/>
                <w:lang w:eastAsia="zh-CN"/>
              </w:rPr>
              <w:t>kapitaal</w:t>
            </w:r>
          </w:p>
          <w:p w14:paraId="0F429442" w14:textId="0B12A405" w:rsidR="00C55098" w:rsidRPr="00CE397F" w:rsidRDefault="00C55098" w:rsidP="007816ED">
            <w:r>
              <w:t xml:space="preserve">Waarvan </w:t>
            </w:r>
            <w:proofErr w:type="spellStart"/>
            <w:r>
              <w:rPr>
                <w:i/>
              </w:rPr>
              <w:t>paid</w:t>
            </w:r>
            <w:proofErr w:type="spellEnd"/>
            <w:r>
              <w:rPr>
                <w:i/>
              </w:rPr>
              <w:t>-in</w:t>
            </w:r>
          </w:p>
        </w:tc>
        <w:tc>
          <w:tcPr>
            <w:tcW w:w="1843" w:type="dxa"/>
            <w:shd w:val="clear" w:color="auto" w:fill="auto"/>
          </w:tcPr>
          <w:p w14:paraId="4BCE5FCF" w14:textId="659E4007" w:rsidR="00C5757D" w:rsidRDefault="00C5757D" w:rsidP="007816ED">
            <w:pPr>
              <w:jc w:val="right"/>
            </w:pPr>
            <w:r w:rsidRPr="00CE397F">
              <w:t>263 miljard</w:t>
            </w:r>
          </w:p>
          <w:p w14:paraId="083E5157" w14:textId="0B216398" w:rsidR="00C55098" w:rsidRPr="00CE397F" w:rsidRDefault="00C55098" w:rsidP="007816ED">
            <w:pPr>
              <w:jc w:val="right"/>
            </w:pPr>
            <w:r>
              <w:t>15,8 miljard</w:t>
            </w:r>
          </w:p>
        </w:tc>
        <w:tc>
          <w:tcPr>
            <w:tcW w:w="2126" w:type="dxa"/>
            <w:shd w:val="clear" w:color="auto" w:fill="auto"/>
          </w:tcPr>
          <w:p w14:paraId="59C33445" w14:textId="77777777" w:rsidR="00C5757D" w:rsidRPr="00CE397F" w:rsidRDefault="00C5757D" w:rsidP="007816ED">
            <w:pPr>
              <w:jc w:val="right"/>
            </w:pPr>
            <w:r w:rsidRPr="00CE397F">
              <w:t>155 miljard</w:t>
            </w:r>
          </w:p>
        </w:tc>
      </w:tr>
      <w:tr w:rsidR="00C5757D" w:rsidRPr="00CE397F" w14:paraId="2F8AE1CC" w14:textId="77777777" w:rsidTr="00E671F4">
        <w:tc>
          <w:tcPr>
            <w:tcW w:w="3544" w:type="dxa"/>
            <w:shd w:val="clear" w:color="auto" w:fill="auto"/>
          </w:tcPr>
          <w:p w14:paraId="4A35597E" w14:textId="45AD0F43" w:rsidR="00C5757D" w:rsidRPr="00CE397F" w:rsidRDefault="00C5757D" w:rsidP="00D670B4">
            <w:pPr>
              <w:rPr>
                <w:szCs w:val="18"/>
                <w:lang w:eastAsia="zh-CN"/>
              </w:rPr>
            </w:pPr>
            <w:r w:rsidRPr="00CE397F">
              <w:rPr>
                <w:szCs w:val="18"/>
                <w:lang w:eastAsia="zh-CN"/>
              </w:rPr>
              <w:t>Nederlands aandeel in %</w:t>
            </w:r>
          </w:p>
        </w:tc>
        <w:tc>
          <w:tcPr>
            <w:tcW w:w="1843" w:type="dxa"/>
            <w:shd w:val="clear" w:color="auto" w:fill="auto"/>
          </w:tcPr>
          <w:p w14:paraId="7BB71195" w14:textId="77777777" w:rsidR="00C5757D" w:rsidRPr="00CE397F" w:rsidRDefault="00C5757D" w:rsidP="007816ED">
            <w:pPr>
              <w:jc w:val="right"/>
            </w:pPr>
            <w:r w:rsidRPr="00CE397F">
              <w:t>1,98</w:t>
            </w:r>
          </w:p>
        </w:tc>
        <w:tc>
          <w:tcPr>
            <w:tcW w:w="2126" w:type="dxa"/>
            <w:shd w:val="clear" w:color="auto" w:fill="auto"/>
          </w:tcPr>
          <w:p w14:paraId="392A8707" w14:textId="77777777" w:rsidR="00C5757D" w:rsidRPr="00CE397F" w:rsidRDefault="00C5757D" w:rsidP="007816ED">
            <w:pPr>
              <w:jc w:val="right"/>
            </w:pPr>
            <w:r w:rsidRPr="00CE397F">
              <w:t>1,99</w:t>
            </w:r>
          </w:p>
        </w:tc>
      </w:tr>
      <w:tr w:rsidR="00C5757D" w:rsidRPr="00CE397F" w14:paraId="0275B0D4" w14:textId="77777777" w:rsidTr="00E671F4">
        <w:tc>
          <w:tcPr>
            <w:tcW w:w="3544" w:type="dxa"/>
            <w:shd w:val="clear" w:color="auto" w:fill="auto"/>
          </w:tcPr>
          <w:p w14:paraId="7E05292B" w14:textId="374DACAA" w:rsidR="00C5757D" w:rsidRPr="00CE397F" w:rsidRDefault="00C5757D" w:rsidP="00D670B4">
            <w:r w:rsidRPr="00CE397F">
              <w:rPr>
                <w:szCs w:val="18"/>
                <w:lang w:eastAsia="zh-CN"/>
              </w:rPr>
              <w:t>Kiesgroep aandeel in %</w:t>
            </w:r>
          </w:p>
        </w:tc>
        <w:tc>
          <w:tcPr>
            <w:tcW w:w="1843" w:type="dxa"/>
            <w:shd w:val="clear" w:color="auto" w:fill="auto"/>
          </w:tcPr>
          <w:p w14:paraId="27096390" w14:textId="77777777" w:rsidR="00C5757D" w:rsidRPr="00CE397F" w:rsidRDefault="00C5757D" w:rsidP="007816ED">
            <w:pPr>
              <w:jc w:val="right"/>
            </w:pPr>
            <w:r w:rsidRPr="00CE397F">
              <w:t>4,1</w:t>
            </w:r>
          </w:p>
        </w:tc>
        <w:tc>
          <w:tcPr>
            <w:tcW w:w="2126" w:type="dxa"/>
            <w:shd w:val="clear" w:color="auto" w:fill="auto"/>
          </w:tcPr>
          <w:p w14:paraId="2E3D586A" w14:textId="77777777" w:rsidR="00C5757D" w:rsidRPr="00CE397F" w:rsidRDefault="00C5757D" w:rsidP="007816ED">
            <w:pPr>
              <w:jc w:val="right"/>
            </w:pPr>
            <w:r w:rsidRPr="00CE397F">
              <w:t>4,82</w:t>
            </w:r>
          </w:p>
        </w:tc>
      </w:tr>
      <w:tr w:rsidR="00C5757D" w:rsidRPr="00CE397F" w14:paraId="598A282E" w14:textId="77777777" w:rsidTr="00E671F4">
        <w:tc>
          <w:tcPr>
            <w:tcW w:w="3544" w:type="dxa"/>
            <w:shd w:val="clear" w:color="auto" w:fill="auto"/>
          </w:tcPr>
          <w:p w14:paraId="780D7214" w14:textId="6A3E3CF7" w:rsidR="00C5757D" w:rsidRPr="00CE397F" w:rsidRDefault="00C5757D" w:rsidP="00D670B4">
            <w:pPr>
              <w:rPr>
                <w:szCs w:val="18"/>
                <w:highlight w:val="yellow"/>
                <w:lang w:eastAsia="zh-CN"/>
              </w:rPr>
            </w:pPr>
            <w:r w:rsidRPr="00CE397F">
              <w:rPr>
                <w:szCs w:val="18"/>
                <w:lang w:eastAsia="zh-CN"/>
              </w:rPr>
              <w:t>Overige Nederlandse bijdragen (</w:t>
            </w:r>
            <w:proofErr w:type="spellStart"/>
            <w:r w:rsidRPr="00CE397F">
              <w:rPr>
                <w:szCs w:val="18"/>
                <w:lang w:eastAsia="zh-CN"/>
              </w:rPr>
              <w:t>TFs</w:t>
            </w:r>
            <w:proofErr w:type="spellEnd"/>
            <w:r w:rsidRPr="00CE397F">
              <w:rPr>
                <w:szCs w:val="18"/>
                <w:lang w:eastAsia="zh-CN"/>
              </w:rPr>
              <w:t>)</w:t>
            </w:r>
          </w:p>
        </w:tc>
        <w:tc>
          <w:tcPr>
            <w:tcW w:w="1843" w:type="dxa"/>
            <w:shd w:val="clear" w:color="auto" w:fill="auto"/>
          </w:tcPr>
          <w:p w14:paraId="36DE6AE5" w14:textId="77777777" w:rsidR="00C5757D" w:rsidRPr="00CE397F" w:rsidRDefault="00C5757D" w:rsidP="007816ED">
            <w:pPr>
              <w:jc w:val="right"/>
              <w:rPr>
                <w:highlight w:val="yellow"/>
              </w:rPr>
            </w:pPr>
            <w:r w:rsidRPr="00FC3117">
              <w:t>95 miljoen</w:t>
            </w:r>
          </w:p>
        </w:tc>
        <w:tc>
          <w:tcPr>
            <w:tcW w:w="2126" w:type="dxa"/>
            <w:shd w:val="clear" w:color="auto" w:fill="auto"/>
          </w:tcPr>
          <w:p w14:paraId="0DB7A6E4" w14:textId="77777777" w:rsidR="00C5757D" w:rsidRPr="00CE397F" w:rsidRDefault="00C5757D" w:rsidP="007816ED">
            <w:pPr>
              <w:jc w:val="right"/>
              <w:rPr>
                <w:highlight w:val="yellow"/>
              </w:rPr>
            </w:pPr>
            <w:r w:rsidRPr="00FC3117">
              <w:t>-</w:t>
            </w:r>
          </w:p>
        </w:tc>
      </w:tr>
      <w:tr w:rsidR="00C5757D" w:rsidRPr="00CE397F" w14:paraId="66279715" w14:textId="77777777" w:rsidTr="00E671F4">
        <w:tc>
          <w:tcPr>
            <w:tcW w:w="3544" w:type="dxa"/>
            <w:shd w:val="clear" w:color="auto" w:fill="auto"/>
          </w:tcPr>
          <w:p w14:paraId="2434651F" w14:textId="77777777" w:rsidR="00C5757D" w:rsidRPr="00CE397F" w:rsidRDefault="00C5757D" w:rsidP="007816ED">
            <w:r w:rsidRPr="00CE397F">
              <w:rPr>
                <w:szCs w:val="18"/>
                <w:lang w:eastAsia="zh-CN"/>
              </w:rPr>
              <w:t>Positie Nederland op ranglijst</w:t>
            </w:r>
          </w:p>
        </w:tc>
        <w:tc>
          <w:tcPr>
            <w:tcW w:w="1843" w:type="dxa"/>
            <w:shd w:val="clear" w:color="auto" w:fill="auto"/>
          </w:tcPr>
          <w:p w14:paraId="09182C22" w14:textId="525F5CAF" w:rsidR="00C5757D" w:rsidRPr="00CE397F" w:rsidRDefault="00C5757D" w:rsidP="00C5757D">
            <w:pPr>
              <w:jc w:val="right"/>
            </w:pPr>
            <w:r w:rsidRPr="00CE397F">
              <w:t>12</w:t>
            </w:r>
            <w:r>
              <w:rPr>
                <w:rStyle w:val="FootnoteReference"/>
              </w:rPr>
              <w:footnoteReference w:id="6"/>
            </w:r>
          </w:p>
        </w:tc>
        <w:tc>
          <w:tcPr>
            <w:tcW w:w="2126" w:type="dxa"/>
            <w:shd w:val="clear" w:color="auto" w:fill="auto"/>
          </w:tcPr>
          <w:p w14:paraId="7F61CDF8" w14:textId="0F309EFD" w:rsidR="00C5757D" w:rsidRPr="00CE397F" w:rsidRDefault="00C5757D" w:rsidP="00B53E51">
            <w:pPr>
              <w:jc w:val="right"/>
            </w:pPr>
            <w:r w:rsidRPr="00CE397F">
              <w:t>8</w:t>
            </w:r>
            <w:r w:rsidR="00B53E51">
              <w:rPr>
                <w:rStyle w:val="FootnoteReference"/>
              </w:rPr>
              <w:footnoteReference w:id="7"/>
            </w:r>
          </w:p>
        </w:tc>
      </w:tr>
      <w:tr w:rsidR="00C5757D" w:rsidRPr="00CE397F" w14:paraId="707B1299" w14:textId="77777777" w:rsidTr="00E671F4">
        <w:tc>
          <w:tcPr>
            <w:tcW w:w="3544" w:type="dxa"/>
            <w:shd w:val="clear" w:color="auto" w:fill="auto"/>
          </w:tcPr>
          <w:p w14:paraId="17DBE15D" w14:textId="77777777" w:rsidR="00C5757D" w:rsidRPr="00CE397F" w:rsidRDefault="00C5757D" w:rsidP="007816ED">
            <w:r w:rsidRPr="00CE397F">
              <w:rPr>
                <w:szCs w:val="18"/>
                <w:lang w:eastAsia="zh-CN"/>
              </w:rPr>
              <w:t>Aantal aandeelhouders / donoren</w:t>
            </w:r>
          </w:p>
        </w:tc>
        <w:tc>
          <w:tcPr>
            <w:tcW w:w="1843" w:type="dxa"/>
            <w:shd w:val="clear" w:color="auto" w:fill="auto"/>
          </w:tcPr>
          <w:p w14:paraId="6961735E" w14:textId="77777777" w:rsidR="00C5757D" w:rsidRPr="00CE397F" w:rsidRDefault="00C5757D" w:rsidP="007816ED">
            <w:pPr>
              <w:jc w:val="right"/>
            </w:pPr>
            <w:r w:rsidRPr="00CE397F">
              <w:t>189</w:t>
            </w:r>
          </w:p>
        </w:tc>
        <w:tc>
          <w:tcPr>
            <w:tcW w:w="2126" w:type="dxa"/>
            <w:shd w:val="clear" w:color="auto" w:fill="auto"/>
          </w:tcPr>
          <w:p w14:paraId="5A93BB08" w14:textId="77777777" w:rsidR="00C5757D" w:rsidRPr="00CE397F" w:rsidRDefault="00C5757D" w:rsidP="007816ED">
            <w:pPr>
              <w:jc w:val="right"/>
            </w:pPr>
            <w:r w:rsidRPr="00CE397F">
              <w:t>52 (IDA18)</w:t>
            </w:r>
          </w:p>
        </w:tc>
      </w:tr>
    </w:tbl>
    <w:p w14:paraId="3C85589D" w14:textId="77777777" w:rsidR="00C5757D" w:rsidRDefault="00C5757D" w:rsidP="007816ED"/>
    <w:p w14:paraId="6AAC5B42" w14:textId="3D6FF2FB" w:rsidR="00C5757D" w:rsidRDefault="00C5757D" w:rsidP="009617F6">
      <w:r>
        <w:t xml:space="preserve">In </w:t>
      </w:r>
      <w:r w:rsidR="00232DB2">
        <w:t>2015/16</w:t>
      </w:r>
      <w:r>
        <w:t xml:space="preserve"> bedroegen de totale </w:t>
      </w:r>
      <w:proofErr w:type="spellStart"/>
      <w:r>
        <w:t>committeringen</w:t>
      </w:r>
      <w:proofErr w:type="spellEnd"/>
      <w:r>
        <w:t xml:space="preserve"> (niveau van goedgekeurde leningen) van de IBRD USD 29,7 miljard (</w:t>
      </w:r>
      <w:r w:rsidR="00232DB2">
        <w:t>2014/</w:t>
      </w:r>
      <w:r>
        <w:t xml:space="preserve">15: USD 23,5 miljard, </w:t>
      </w:r>
      <w:r w:rsidR="00232DB2">
        <w:t>2013/</w:t>
      </w:r>
      <w:r>
        <w:t>14: USD 18,6 miljard) en die van IDA USD 16,2 miljard (</w:t>
      </w:r>
      <w:r w:rsidR="00232DB2">
        <w:t>2014/</w:t>
      </w:r>
      <w:r>
        <w:t xml:space="preserve">15: 19 miljard, </w:t>
      </w:r>
      <w:r w:rsidR="00232DB2">
        <w:t>2013/14: USD 22,2 miljard).</w:t>
      </w:r>
    </w:p>
    <w:p w14:paraId="616BDC1D" w14:textId="77777777" w:rsidR="00232DB2" w:rsidRDefault="00232DB2" w:rsidP="009617F6"/>
    <w:p w14:paraId="7B4B264D" w14:textId="5405110C" w:rsidR="00232DB2" w:rsidRDefault="00C5757D" w:rsidP="009617F6">
      <w:r>
        <w:t xml:space="preserve">Naast </w:t>
      </w:r>
      <w:proofErr w:type="spellStart"/>
      <w:r w:rsidR="00B46A21">
        <w:rPr>
          <w:i/>
        </w:rPr>
        <w:t>core</w:t>
      </w:r>
      <w:proofErr w:type="spellEnd"/>
      <w:r>
        <w:t xml:space="preserve"> bijdragen, verstrekt Nederland ook </w:t>
      </w:r>
      <w:r w:rsidR="00B46A21">
        <w:rPr>
          <w:i/>
        </w:rPr>
        <w:t>non-</w:t>
      </w:r>
      <w:proofErr w:type="spellStart"/>
      <w:r w:rsidR="00B46A21">
        <w:rPr>
          <w:i/>
        </w:rPr>
        <w:t>core</w:t>
      </w:r>
      <w:proofErr w:type="spellEnd"/>
      <w:r>
        <w:t xml:space="preserve"> bijdragen aan de WB via Trust Funds (</w:t>
      </w:r>
      <w:proofErr w:type="spellStart"/>
      <w:r>
        <w:t>TF’s</w:t>
      </w:r>
      <w:proofErr w:type="spellEnd"/>
      <w:r>
        <w:t xml:space="preserve">). Genoemde TF-bijdragen vertegenwoordigen de totale meerjarige </w:t>
      </w:r>
      <w:proofErr w:type="spellStart"/>
      <w:r>
        <w:t>committeringen</w:t>
      </w:r>
      <w:proofErr w:type="spellEnd"/>
      <w:r>
        <w:t xml:space="preserve">. </w:t>
      </w:r>
    </w:p>
    <w:p w14:paraId="489B6D09" w14:textId="77777777" w:rsidR="00232DB2" w:rsidRDefault="00232DB2" w:rsidP="009617F6"/>
    <w:p w14:paraId="62A56190" w14:textId="3260DA17" w:rsidR="00C5757D" w:rsidRDefault="00C5757D" w:rsidP="009617F6">
      <w:r>
        <w:t xml:space="preserve">Per 30 juni 2016 had Nederland 73 actieve </w:t>
      </w:r>
      <w:proofErr w:type="spellStart"/>
      <w:r>
        <w:t>TF’s</w:t>
      </w:r>
      <w:proofErr w:type="spellEnd"/>
      <w:r>
        <w:t xml:space="preserve"> bij de WB, voor een totaalbedrag van USD 2,228 miljard. De drie hoogste Nederlandse bijdragen aan WB-beheerde </w:t>
      </w:r>
      <w:proofErr w:type="spellStart"/>
      <w:r>
        <w:t>TF’s</w:t>
      </w:r>
      <w:proofErr w:type="spellEnd"/>
      <w:r>
        <w:t xml:space="preserve"> waren per 30 juni 2016 het </w:t>
      </w:r>
      <w:r w:rsidRPr="00A302CA">
        <w:rPr>
          <w:i/>
        </w:rPr>
        <w:t xml:space="preserve">Afghanistan </w:t>
      </w:r>
      <w:proofErr w:type="spellStart"/>
      <w:r w:rsidRPr="00A302CA">
        <w:rPr>
          <w:i/>
        </w:rPr>
        <w:t>Reconstruction</w:t>
      </w:r>
      <w:proofErr w:type="spellEnd"/>
      <w:r w:rsidRPr="00A302CA">
        <w:rPr>
          <w:i/>
        </w:rPr>
        <w:t xml:space="preserve"> Trust Fund</w:t>
      </w:r>
      <w:r>
        <w:t xml:space="preserve"> (NL bijdrage USD 444 miljoen); het </w:t>
      </w:r>
      <w:proofErr w:type="spellStart"/>
      <w:r w:rsidRPr="00A302CA">
        <w:rPr>
          <w:i/>
        </w:rPr>
        <w:t>Education</w:t>
      </w:r>
      <w:proofErr w:type="spellEnd"/>
      <w:r w:rsidRPr="00A302CA">
        <w:rPr>
          <w:i/>
        </w:rPr>
        <w:t xml:space="preserve"> </w:t>
      </w:r>
      <w:proofErr w:type="spellStart"/>
      <w:r w:rsidRPr="00A302CA">
        <w:rPr>
          <w:i/>
        </w:rPr>
        <w:t>for</w:t>
      </w:r>
      <w:proofErr w:type="spellEnd"/>
      <w:r w:rsidRPr="00A302CA">
        <w:rPr>
          <w:i/>
        </w:rPr>
        <w:t xml:space="preserve"> </w:t>
      </w:r>
      <w:proofErr w:type="spellStart"/>
      <w:r w:rsidRPr="00A302CA">
        <w:rPr>
          <w:i/>
        </w:rPr>
        <w:t>All</w:t>
      </w:r>
      <w:proofErr w:type="spellEnd"/>
      <w:r w:rsidRPr="00A302CA">
        <w:rPr>
          <w:i/>
        </w:rPr>
        <w:t xml:space="preserve"> </w:t>
      </w:r>
      <w:proofErr w:type="spellStart"/>
      <w:r w:rsidRPr="00A302CA">
        <w:rPr>
          <w:i/>
        </w:rPr>
        <w:t>Catalytic</w:t>
      </w:r>
      <w:proofErr w:type="spellEnd"/>
      <w:r w:rsidRPr="00A302CA">
        <w:rPr>
          <w:i/>
        </w:rPr>
        <w:t xml:space="preserve"> Trust Fund</w:t>
      </w:r>
      <w:r>
        <w:t xml:space="preserve"> (NL bijdrage USD 433 miljoen) en de </w:t>
      </w:r>
      <w:r w:rsidRPr="00A302CA">
        <w:rPr>
          <w:i/>
        </w:rPr>
        <w:t>IBRD/Netherlands Clean Development Facility</w:t>
      </w:r>
      <w:r>
        <w:t xml:space="preserve"> (NL bijdrage USD 300 miljoen, gelden van het Ministerie van Infrastructuur &amp; Milieu). Per BHOS-thema droeg Nederland per 30 juni 2016 USD 155 miljoen bij aan water, USD 76 miljoen aan voedselzekerheid, USD 630 miljoen aan veiligheid en rechtsorde, USD 390 miljoen aan klimaat, en USD 110 miljoen aan private sector ontwikkeling.</w:t>
      </w:r>
    </w:p>
    <w:p w14:paraId="0901BAF7" w14:textId="77777777" w:rsidR="00232DB2" w:rsidRDefault="00232DB2" w:rsidP="009617F6"/>
    <w:p w14:paraId="034CB012" w14:textId="5DEDDB44" w:rsidR="00C5757D" w:rsidRDefault="00C5757D" w:rsidP="009617F6">
      <w:r>
        <w:t xml:space="preserve">De Bank fungeert tevens als administratiekantoor voor zogenaamde </w:t>
      </w:r>
      <w:r w:rsidRPr="00A302CA">
        <w:rPr>
          <w:i/>
        </w:rPr>
        <w:t xml:space="preserve">Financial </w:t>
      </w:r>
      <w:proofErr w:type="spellStart"/>
      <w:r w:rsidRPr="00A302CA">
        <w:rPr>
          <w:i/>
        </w:rPr>
        <w:t>Intermediary</w:t>
      </w:r>
      <w:proofErr w:type="spellEnd"/>
      <w:r w:rsidRPr="00A302CA">
        <w:rPr>
          <w:i/>
        </w:rPr>
        <w:t xml:space="preserve"> Funds</w:t>
      </w:r>
      <w:r>
        <w:t xml:space="preserve"> (</w:t>
      </w:r>
      <w:proofErr w:type="spellStart"/>
      <w:r>
        <w:t>FIFs</w:t>
      </w:r>
      <w:proofErr w:type="spellEnd"/>
      <w:r>
        <w:t xml:space="preserve">), waarbij de beleidsmatige verantwoordelijkheid bij derden ligt, veelal Global Partnerships. De </w:t>
      </w:r>
      <w:proofErr w:type="spellStart"/>
      <w:r>
        <w:t>FIFs</w:t>
      </w:r>
      <w:proofErr w:type="spellEnd"/>
      <w:r>
        <w:t xml:space="preserve"> met de grootste Nederlandse bijdragen waren in 2016 het </w:t>
      </w:r>
      <w:r w:rsidRPr="00A302CA">
        <w:rPr>
          <w:i/>
        </w:rPr>
        <w:t xml:space="preserve">Global Fund </w:t>
      </w:r>
      <w:proofErr w:type="spellStart"/>
      <w:r w:rsidRPr="00A302CA">
        <w:rPr>
          <w:i/>
        </w:rPr>
        <w:t>to</w:t>
      </w:r>
      <w:proofErr w:type="spellEnd"/>
      <w:r w:rsidRPr="00A302CA">
        <w:rPr>
          <w:i/>
        </w:rPr>
        <w:t xml:space="preserve"> </w:t>
      </w:r>
      <w:proofErr w:type="spellStart"/>
      <w:r w:rsidRPr="00A302CA">
        <w:rPr>
          <w:i/>
        </w:rPr>
        <w:t>Fight</w:t>
      </w:r>
      <w:proofErr w:type="spellEnd"/>
      <w:r w:rsidRPr="00A302CA">
        <w:rPr>
          <w:i/>
        </w:rPr>
        <w:t xml:space="preserve"> AIDS, </w:t>
      </w:r>
      <w:proofErr w:type="spellStart"/>
      <w:r w:rsidRPr="00A302CA">
        <w:rPr>
          <w:i/>
        </w:rPr>
        <w:t>Tuberculosis</w:t>
      </w:r>
      <w:proofErr w:type="spellEnd"/>
      <w:r w:rsidRPr="00A302CA">
        <w:rPr>
          <w:i/>
        </w:rPr>
        <w:t xml:space="preserve"> </w:t>
      </w:r>
      <w:proofErr w:type="spellStart"/>
      <w:r w:rsidRPr="00A302CA">
        <w:rPr>
          <w:i/>
        </w:rPr>
        <w:t>and</w:t>
      </w:r>
      <w:proofErr w:type="spellEnd"/>
      <w:r w:rsidRPr="00A302CA">
        <w:rPr>
          <w:i/>
        </w:rPr>
        <w:t xml:space="preserve"> Malaria</w:t>
      </w:r>
      <w:r>
        <w:t xml:space="preserve"> (bijdrage USD 829 miljoen); het </w:t>
      </w:r>
      <w:r w:rsidRPr="00A302CA">
        <w:rPr>
          <w:i/>
        </w:rPr>
        <w:t xml:space="preserve">HIPC </w:t>
      </w:r>
      <w:proofErr w:type="spellStart"/>
      <w:r w:rsidRPr="00A302CA">
        <w:rPr>
          <w:i/>
        </w:rPr>
        <w:t>Debt</w:t>
      </w:r>
      <w:proofErr w:type="spellEnd"/>
      <w:r w:rsidRPr="00A302CA">
        <w:rPr>
          <w:i/>
        </w:rPr>
        <w:t xml:space="preserve"> </w:t>
      </w:r>
      <w:proofErr w:type="spellStart"/>
      <w:r w:rsidRPr="00A302CA">
        <w:rPr>
          <w:i/>
        </w:rPr>
        <w:t>Initiative</w:t>
      </w:r>
      <w:proofErr w:type="spellEnd"/>
      <w:r w:rsidRPr="00A302CA">
        <w:rPr>
          <w:i/>
        </w:rPr>
        <w:t xml:space="preserve"> Trust Fund</w:t>
      </w:r>
      <w:r>
        <w:t xml:space="preserve"> (bijdrage USD 408 miljoen) en de </w:t>
      </w:r>
      <w:r w:rsidRPr="00A302CA">
        <w:rPr>
          <w:i/>
        </w:rPr>
        <w:t xml:space="preserve">Global Environment Facility </w:t>
      </w:r>
      <w:r>
        <w:t>(bijdrage USD 398 miljoen).</w:t>
      </w:r>
    </w:p>
    <w:p w14:paraId="300B4F93" w14:textId="77777777" w:rsidR="00C5757D" w:rsidRDefault="00C5757D" w:rsidP="009617F6"/>
    <w:p w14:paraId="3CF87440" w14:textId="1105EFE8" w:rsidR="00C5757D" w:rsidRDefault="00C5757D" w:rsidP="009617F6"/>
    <w:p w14:paraId="22908E6C" w14:textId="54231CF2" w:rsidR="00C5757D" w:rsidRDefault="00C5757D" w:rsidP="002D1811">
      <w:pPr>
        <w:pStyle w:val="Heading1"/>
        <w:numPr>
          <w:ilvl w:val="0"/>
          <w:numId w:val="43"/>
        </w:numPr>
        <w:spacing w:after="240" w:line="240" w:lineRule="auto"/>
      </w:pPr>
      <w:r>
        <w:lastRenderedPageBreak/>
        <w:tab/>
      </w:r>
      <w:r w:rsidR="00461DAD">
        <w:tab/>
      </w:r>
      <w:r w:rsidR="00461DAD">
        <w:tab/>
      </w:r>
      <w:r w:rsidR="00461DAD">
        <w:tab/>
        <w:t xml:space="preserve">  </w:t>
      </w:r>
      <w:r w:rsidR="00461DAD">
        <w:tab/>
      </w:r>
      <w:r w:rsidR="00461DAD">
        <w:tab/>
        <w:t xml:space="preserve"> </w:t>
      </w:r>
      <w:r w:rsidR="00461DAD">
        <w:tab/>
        <w:t xml:space="preserve">  </w:t>
      </w:r>
      <w:r w:rsidR="00461DAD">
        <w:tab/>
      </w:r>
      <w:bookmarkStart w:id="37" w:name="_Toc484612347"/>
      <w:bookmarkStart w:id="38" w:name="_Toc491439912"/>
      <w:r>
        <w:t>Institutionele aspecten en functioneren van de organisatie</w:t>
      </w:r>
      <w:bookmarkEnd w:id="37"/>
      <w:bookmarkEnd w:id="38"/>
    </w:p>
    <w:p w14:paraId="1EB4908A" w14:textId="69659C0E" w:rsidR="00C5757D" w:rsidRPr="004D372F" w:rsidRDefault="00C5757D" w:rsidP="002D1811">
      <w:pPr>
        <w:pStyle w:val="Heading2"/>
        <w:tabs>
          <w:tab w:val="left" w:pos="-1162"/>
          <w:tab w:val="left" w:pos="0"/>
        </w:tabs>
        <w:spacing w:line="240" w:lineRule="auto"/>
        <w:ind w:left="-1162"/>
      </w:pPr>
      <w:bookmarkStart w:id="39" w:name="_Toc484612348"/>
      <w:bookmarkStart w:id="40" w:name="_Toc491439913"/>
      <w:r>
        <w:t>4.1</w:t>
      </w:r>
      <w:r>
        <w:tab/>
        <w:t>Strategie en verantwoording</w:t>
      </w:r>
      <w:bookmarkEnd w:id="39"/>
      <w:bookmarkEnd w:id="40"/>
    </w:p>
    <w:p w14:paraId="47E73B01" w14:textId="16E64A7C" w:rsidR="00C5757D" w:rsidRPr="00CE397F" w:rsidRDefault="00C5757D" w:rsidP="00212839">
      <w:pPr>
        <w:spacing w:beforeLines="1" w:before="2" w:afterLines="1" w:after="2" w:line="240" w:lineRule="auto"/>
        <w:rPr>
          <w:rFonts w:ascii="Times" w:hAnsi="Times"/>
          <w:sz w:val="20"/>
          <w:szCs w:val="20"/>
        </w:rPr>
      </w:pPr>
      <w:r w:rsidRPr="00CE397F">
        <w:rPr>
          <w:szCs w:val="18"/>
        </w:rPr>
        <w:t xml:space="preserve">Omdat de Bank zich regelmatig begeeft op terreinen waar ook andere multilaterale organisaties actief en competent zijn, is samenwerking en taakafbakening essentieel. De Bank heeft in 2016 de eigen rol en </w:t>
      </w:r>
      <w:r>
        <w:rPr>
          <w:szCs w:val="18"/>
        </w:rPr>
        <w:t xml:space="preserve">het </w:t>
      </w:r>
      <w:r w:rsidRPr="00CE397F">
        <w:rPr>
          <w:szCs w:val="18"/>
        </w:rPr>
        <w:t xml:space="preserve">comparatieve voordeel expliciet gedefinieerd in de strategie </w:t>
      </w:r>
      <w:r w:rsidRPr="00CE397F">
        <w:rPr>
          <w:i/>
          <w:szCs w:val="18"/>
        </w:rPr>
        <w:t xml:space="preserve">Forward Look, a </w:t>
      </w:r>
      <w:proofErr w:type="spellStart"/>
      <w:r w:rsidRPr="00CE397F">
        <w:rPr>
          <w:i/>
          <w:szCs w:val="18"/>
        </w:rPr>
        <w:t>vision</w:t>
      </w:r>
      <w:proofErr w:type="spellEnd"/>
      <w:r w:rsidRPr="00CE397F">
        <w:rPr>
          <w:i/>
          <w:szCs w:val="18"/>
        </w:rPr>
        <w:t xml:space="preserve"> </w:t>
      </w:r>
      <w:proofErr w:type="spellStart"/>
      <w:r w:rsidRPr="00CE397F">
        <w:rPr>
          <w:i/>
          <w:szCs w:val="18"/>
        </w:rPr>
        <w:t>for</w:t>
      </w:r>
      <w:proofErr w:type="spellEnd"/>
      <w:r w:rsidRPr="00CE397F">
        <w:rPr>
          <w:i/>
          <w:szCs w:val="18"/>
        </w:rPr>
        <w:t xml:space="preserve"> </w:t>
      </w:r>
      <w:proofErr w:type="spellStart"/>
      <w:r w:rsidRPr="00CE397F">
        <w:rPr>
          <w:i/>
          <w:szCs w:val="18"/>
        </w:rPr>
        <w:t>the</w:t>
      </w:r>
      <w:proofErr w:type="spellEnd"/>
      <w:r w:rsidRPr="00CE397F">
        <w:rPr>
          <w:i/>
          <w:szCs w:val="18"/>
        </w:rPr>
        <w:t xml:space="preserve"> World Bank Group in 2030</w:t>
      </w:r>
      <w:r w:rsidRPr="00CE397F">
        <w:rPr>
          <w:szCs w:val="18"/>
        </w:rPr>
        <w:t>.</w:t>
      </w:r>
      <w:r w:rsidRPr="00CE397F">
        <w:rPr>
          <w:rFonts w:ascii="Times" w:hAnsi="Times"/>
          <w:sz w:val="20"/>
          <w:szCs w:val="20"/>
        </w:rPr>
        <w:t xml:space="preserve"> </w:t>
      </w:r>
      <w:r w:rsidRPr="00CE397F">
        <w:rPr>
          <w:szCs w:val="20"/>
        </w:rPr>
        <w:t xml:space="preserve">Hierin zijn de beleidsprioriteiten van de Bank vastgelegd en wordt het verband gelegd met het behalen van de </w:t>
      </w:r>
      <w:proofErr w:type="spellStart"/>
      <w:r w:rsidRPr="00E671F4">
        <w:rPr>
          <w:i/>
          <w:szCs w:val="20"/>
        </w:rPr>
        <w:t>Sustainable</w:t>
      </w:r>
      <w:proofErr w:type="spellEnd"/>
      <w:r w:rsidRPr="00E671F4">
        <w:rPr>
          <w:i/>
          <w:szCs w:val="20"/>
        </w:rPr>
        <w:t xml:space="preserve"> Development Goals</w:t>
      </w:r>
      <w:r>
        <w:rPr>
          <w:szCs w:val="20"/>
        </w:rPr>
        <w:t xml:space="preserve"> (</w:t>
      </w:r>
      <w:proofErr w:type="spellStart"/>
      <w:r>
        <w:rPr>
          <w:szCs w:val="20"/>
        </w:rPr>
        <w:t>SDG</w:t>
      </w:r>
      <w:r w:rsidRPr="00CE397F">
        <w:rPr>
          <w:szCs w:val="20"/>
        </w:rPr>
        <w:t>’s</w:t>
      </w:r>
      <w:proofErr w:type="spellEnd"/>
      <w:r>
        <w:rPr>
          <w:szCs w:val="20"/>
        </w:rPr>
        <w:t>)</w:t>
      </w:r>
      <w:r w:rsidRPr="00CE397F">
        <w:rPr>
          <w:szCs w:val="20"/>
        </w:rPr>
        <w:t xml:space="preserve"> en het uitvoeren van de klimaatafspraken.</w:t>
      </w:r>
      <w:r w:rsidRPr="00CE397F">
        <w:t xml:space="preserve"> </w:t>
      </w:r>
      <w:r>
        <w:t xml:space="preserve">De Bank is hiermee </w:t>
      </w:r>
      <w:r w:rsidRPr="00695BB0">
        <w:rPr>
          <w:i/>
        </w:rPr>
        <w:t xml:space="preserve">fit </w:t>
      </w:r>
      <w:proofErr w:type="spellStart"/>
      <w:r w:rsidRPr="00695BB0">
        <w:rPr>
          <w:i/>
        </w:rPr>
        <w:t>for</w:t>
      </w:r>
      <w:proofErr w:type="spellEnd"/>
      <w:r w:rsidRPr="00695BB0">
        <w:rPr>
          <w:i/>
        </w:rPr>
        <w:t xml:space="preserve"> </w:t>
      </w:r>
      <w:proofErr w:type="spellStart"/>
      <w:r w:rsidRPr="00695BB0">
        <w:rPr>
          <w:i/>
        </w:rPr>
        <w:t>purpose</w:t>
      </w:r>
      <w:proofErr w:type="spellEnd"/>
      <w:r>
        <w:t xml:space="preserve">. </w:t>
      </w:r>
      <w:r w:rsidRPr="00CE397F">
        <w:t>Over beleid en programma’s wordt verantwoording afgelegd in de Raad van Bewindvoerders. Over strategie en institutionele zaken worden besluiten genomen in de Raad van Gouverneurs.</w:t>
      </w:r>
    </w:p>
    <w:p w14:paraId="0CCF67A3" w14:textId="77777777" w:rsidR="00C5757D" w:rsidRPr="00CE397F" w:rsidRDefault="00C5757D" w:rsidP="00212839">
      <w:pPr>
        <w:spacing w:beforeLines="1" w:before="2" w:afterLines="1" w:after="2" w:line="240" w:lineRule="auto"/>
        <w:rPr>
          <w:szCs w:val="20"/>
        </w:rPr>
      </w:pPr>
    </w:p>
    <w:p w14:paraId="0BC79CA1" w14:textId="563F76C2" w:rsidR="00C5757D" w:rsidRDefault="00C5757D" w:rsidP="00212839">
      <w:pPr>
        <w:spacing w:beforeLines="1" w:before="2" w:afterLines="1" w:after="2" w:line="240" w:lineRule="auto"/>
      </w:pPr>
      <w:r w:rsidRPr="00126A17">
        <w:t>De Bank heeft een breed apolitiek mandaat waarbij armoedebestrijding</w:t>
      </w:r>
      <w:r>
        <w:t xml:space="preserve"> en inclusieve groei</w:t>
      </w:r>
      <w:r w:rsidRPr="00126A17">
        <w:t xml:space="preserve"> via duurzame </w:t>
      </w:r>
      <w:r w:rsidR="00D670B4">
        <w:t>sociaa</w:t>
      </w:r>
      <w:r w:rsidR="00D670B4" w:rsidRPr="00126A17">
        <w:t>leconomische</w:t>
      </w:r>
      <w:r w:rsidRPr="00126A17">
        <w:t xml:space="preserve"> ontwikkeling centraal staat. De Bank opereert daarbij op basis van de ontwikkelingsvraag van klantlanden en sluit daarbij aan bij nationaal beleid. In politiek instabiele landen kan de apolitieke insteek van de WB soms tot lastige dilemma’s leiden wanneer de randvoorwaarden voor het uitvoeren van ontwikkelingsprogramma’s plotseling wegvallen</w:t>
      </w:r>
      <w:r>
        <w:t>.</w:t>
      </w:r>
      <w:r w:rsidRPr="00126A17">
        <w:t xml:space="preserve"> De Bank ziet zich, mede op verzoek van de aandeelhouders, meer en meer genoodzaakt om naast </w:t>
      </w:r>
      <w:proofErr w:type="spellStart"/>
      <w:r w:rsidRPr="00126A17">
        <w:t>landenspecifieke</w:t>
      </w:r>
      <w:proofErr w:type="spellEnd"/>
      <w:r w:rsidRPr="00126A17">
        <w:t xml:space="preserve"> </w:t>
      </w:r>
      <w:r>
        <w:t xml:space="preserve">programma’s </w:t>
      </w:r>
      <w:r w:rsidRPr="00126A17">
        <w:t xml:space="preserve">ook </w:t>
      </w:r>
      <w:r>
        <w:t>in te zetten op</w:t>
      </w:r>
      <w:r w:rsidRPr="00126A17">
        <w:t xml:space="preserve"> grensoverschrijdende ontwikkelingen</w:t>
      </w:r>
      <w:r>
        <w:t xml:space="preserve">, zoals klimaatverandering. Ook is de Bank actief op het snijvlak van humanitaire interventies en structurele ontwikkelingsprogramma’s, vooral daar waar door langdurige humanitaire crises, </w:t>
      </w:r>
      <w:r w:rsidRPr="00126A17">
        <w:t>ontwikkelingsresultaten teniet dreigen te worden gedaan. Door bijvoorbeeld klimaatsensitief te werken, crisisrisico’s en het aanpakken van grondoorzaken van conflict en irreguliere migratie beter te integreren in de landenprogramma’s, kan de Bank toch bij zijn kernmandaat blijven en kunnen co-benefits</w:t>
      </w:r>
      <w:r>
        <w:t xml:space="preserve"> (positieve neveneffecten)</w:t>
      </w:r>
      <w:r w:rsidRPr="00126A17">
        <w:t xml:space="preserve"> worden gerealiseerd en resultaten worden behaald in het domein van de mondiale publieke goederen.</w:t>
      </w:r>
    </w:p>
    <w:p w14:paraId="03D079C0" w14:textId="77777777" w:rsidR="00C5757D" w:rsidRPr="00CE397F" w:rsidRDefault="00C5757D" w:rsidP="00212839">
      <w:pPr>
        <w:spacing w:beforeLines="1" w:before="2" w:afterLines="1" w:after="2" w:line="240" w:lineRule="auto"/>
      </w:pPr>
    </w:p>
    <w:p w14:paraId="6FDB6322" w14:textId="5FA023C8" w:rsidR="00C5757D" w:rsidRDefault="00C5757D" w:rsidP="007816ED">
      <w:r w:rsidRPr="00CE397F">
        <w:rPr>
          <w:szCs w:val="22"/>
        </w:rPr>
        <w:t xml:space="preserve">De </w:t>
      </w:r>
      <w:r>
        <w:rPr>
          <w:szCs w:val="22"/>
        </w:rPr>
        <w:t xml:space="preserve">Board spreekt jaarlijks over de strategische inzet voor </w:t>
      </w:r>
      <w:r w:rsidRPr="00CE397F">
        <w:rPr>
          <w:szCs w:val="22"/>
        </w:rPr>
        <w:t>de verschillende beleidsprioriteiten (</w:t>
      </w:r>
      <w:r>
        <w:rPr>
          <w:szCs w:val="22"/>
        </w:rPr>
        <w:t xml:space="preserve">de zogenoemde </w:t>
      </w:r>
      <w:r w:rsidRPr="00732698">
        <w:rPr>
          <w:i/>
          <w:szCs w:val="22"/>
        </w:rPr>
        <w:t xml:space="preserve">Global </w:t>
      </w:r>
      <w:proofErr w:type="spellStart"/>
      <w:r w:rsidRPr="00732698">
        <w:rPr>
          <w:i/>
          <w:szCs w:val="22"/>
        </w:rPr>
        <w:t>Practices</w:t>
      </w:r>
      <w:proofErr w:type="spellEnd"/>
      <w:r w:rsidRPr="00CE397F">
        <w:rPr>
          <w:szCs w:val="22"/>
        </w:rPr>
        <w:t>) en dwarsdoorsnijdende thema’s (</w:t>
      </w:r>
      <w:r w:rsidRPr="00AC0D7A">
        <w:rPr>
          <w:i/>
          <w:szCs w:val="22"/>
        </w:rPr>
        <w:t xml:space="preserve">Cross </w:t>
      </w:r>
      <w:proofErr w:type="spellStart"/>
      <w:r w:rsidRPr="00AC0D7A">
        <w:rPr>
          <w:i/>
          <w:szCs w:val="22"/>
        </w:rPr>
        <w:t>Cutting</w:t>
      </w:r>
      <w:proofErr w:type="spellEnd"/>
      <w:r w:rsidRPr="00AC0D7A">
        <w:rPr>
          <w:i/>
          <w:szCs w:val="22"/>
        </w:rPr>
        <w:t xml:space="preserve"> Solution </w:t>
      </w:r>
      <w:proofErr w:type="spellStart"/>
      <w:r w:rsidRPr="00AC0D7A">
        <w:rPr>
          <w:i/>
          <w:szCs w:val="22"/>
        </w:rPr>
        <w:t>Areas</w:t>
      </w:r>
      <w:proofErr w:type="spellEnd"/>
      <w:r w:rsidRPr="00CE397F">
        <w:rPr>
          <w:szCs w:val="22"/>
        </w:rPr>
        <w:t>). Verder moeten projecten voldoen aan strenge</w:t>
      </w:r>
      <w:r>
        <w:rPr>
          <w:szCs w:val="22"/>
        </w:rPr>
        <w:t xml:space="preserve"> nieuwe</w:t>
      </w:r>
      <w:r w:rsidRPr="00CE397F">
        <w:rPr>
          <w:szCs w:val="22"/>
        </w:rPr>
        <w:t xml:space="preserve"> </w:t>
      </w:r>
      <w:proofErr w:type="spellStart"/>
      <w:r w:rsidRPr="00AC0D7A">
        <w:rPr>
          <w:i/>
          <w:szCs w:val="22"/>
        </w:rPr>
        <w:t>safeguards</w:t>
      </w:r>
      <w:proofErr w:type="spellEnd"/>
      <w:r w:rsidRPr="00CE397F">
        <w:rPr>
          <w:szCs w:val="22"/>
        </w:rPr>
        <w:t>, de interne controlemechanismen van de Bank die schadelijke gevolgen van bankprojecten voor mens en milieu identificeren zodat maatregelen kunnen worden getroffen om deze zo veel mogelijk te voorkomen</w:t>
      </w:r>
      <w:r>
        <w:rPr>
          <w:szCs w:val="22"/>
        </w:rPr>
        <w:t xml:space="preserve"> (herzien in 2016)</w:t>
      </w:r>
      <w:r w:rsidRPr="00CE397F">
        <w:rPr>
          <w:szCs w:val="22"/>
        </w:rPr>
        <w:t xml:space="preserve">. Wanneer </w:t>
      </w:r>
      <w:r>
        <w:rPr>
          <w:szCs w:val="22"/>
        </w:rPr>
        <w:t xml:space="preserve">er </w:t>
      </w:r>
      <w:r w:rsidRPr="00CE397F">
        <w:rPr>
          <w:szCs w:val="22"/>
        </w:rPr>
        <w:t xml:space="preserve">toch schade optreedt, beschikt de Bank over een effectief klachtenmechanisme, het onafhankelijke </w:t>
      </w:r>
      <w:proofErr w:type="spellStart"/>
      <w:r w:rsidRPr="00AC0D7A">
        <w:rPr>
          <w:i/>
          <w:szCs w:val="22"/>
        </w:rPr>
        <w:t>Inspection</w:t>
      </w:r>
      <w:proofErr w:type="spellEnd"/>
      <w:r w:rsidRPr="00AC0D7A">
        <w:rPr>
          <w:i/>
          <w:szCs w:val="22"/>
        </w:rPr>
        <w:t xml:space="preserve"> Panel</w:t>
      </w:r>
      <w:r w:rsidRPr="00CE397F">
        <w:rPr>
          <w:szCs w:val="22"/>
        </w:rPr>
        <w:t>.</w:t>
      </w:r>
    </w:p>
    <w:p w14:paraId="4E770BE2" w14:textId="77777777" w:rsidR="00C5757D" w:rsidRDefault="00C5757D" w:rsidP="007816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C5757D" w14:paraId="17A2F339" w14:textId="77777777" w:rsidTr="00E07BFF">
        <w:tc>
          <w:tcPr>
            <w:tcW w:w="6748" w:type="dxa"/>
            <w:tcBorders>
              <w:top w:val="single" w:sz="12" w:space="0" w:color="auto"/>
              <w:left w:val="single" w:sz="12" w:space="0" w:color="auto"/>
              <w:bottom w:val="single" w:sz="12" w:space="0" w:color="auto"/>
            </w:tcBorders>
            <w:shd w:val="clear" w:color="auto" w:fill="D9D9D9"/>
          </w:tcPr>
          <w:p w14:paraId="480FB2BF" w14:textId="77777777" w:rsidR="00C5757D" w:rsidRPr="00EA0AA8" w:rsidRDefault="00C5757D" w:rsidP="007816ED">
            <w:pPr>
              <w:rPr>
                <w:b/>
              </w:rPr>
            </w:pPr>
            <w:r w:rsidRPr="00EA0AA8">
              <w:rPr>
                <w:b/>
              </w:rPr>
              <w:t>Onderdeel</w:t>
            </w:r>
          </w:p>
        </w:tc>
        <w:tc>
          <w:tcPr>
            <w:tcW w:w="949" w:type="dxa"/>
            <w:tcBorders>
              <w:top w:val="single" w:sz="12" w:space="0" w:color="auto"/>
              <w:bottom w:val="single" w:sz="12" w:space="0" w:color="auto"/>
              <w:right w:val="single" w:sz="12" w:space="0" w:color="auto"/>
            </w:tcBorders>
            <w:shd w:val="clear" w:color="auto" w:fill="D9D9D9"/>
          </w:tcPr>
          <w:p w14:paraId="1D491478" w14:textId="77777777" w:rsidR="00C5757D" w:rsidRPr="00EA0AA8" w:rsidRDefault="00C5757D" w:rsidP="007816ED">
            <w:pPr>
              <w:rPr>
                <w:b/>
              </w:rPr>
            </w:pPr>
            <w:r w:rsidRPr="00EA0AA8">
              <w:rPr>
                <w:b/>
              </w:rPr>
              <w:t>Score</w:t>
            </w:r>
          </w:p>
        </w:tc>
      </w:tr>
      <w:tr w:rsidR="00C5757D" w14:paraId="50B0AB5B" w14:textId="77777777">
        <w:tc>
          <w:tcPr>
            <w:tcW w:w="6912" w:type="dxa"/>
            <w:tcBorders>
              <w:top w:val="single" w:sz="12" w:space="0" w:color="auto"/>
              <w:left w:val="single" w:sz="12" w:space="0" w:color="auto"/>
            </w:tcBorders>
            <w:shd w:val="clear" w:color="auto" w:fill="auto"/>
          </w:tcPr>
          <w:p w14:paraId="61598AF3" w14:textId="77777777" w:rsidR="00C5757D" w:rsidRDefault="00C5757D" w:rsidP="007816ED">
            <w:r>
              <w:t>Kernmandaat / Prioriteiten / Mission Creep</w:t>
            </w:r>
          </w:p>
        </w:tc>
        <w:tc>
          <w:tcPr>
            <w:tcW w:w="955" w:type="dxa"/>
            <w:tcBorders>
              <w:top w:val="single" w:sz="12" w:space="0" w:color="auto"/>
              <w:right w:val="single" w:sz="12" w:space="0" w:color="auto"/>
            </w:tcBorders>
            <w:shd w:val="clear" w:color="auto" w:fill="auto"/>
          </w:tcPr>
          <w:p w14:paraId="433483CA" w14:textId="77777777" w:rsidR="00C5757D" w:rsidRDefault="00C5757D" w:rsidP="007816ED">
            <w:r>
              <w:t>3</w:t>
            </w:r>
          </w:p>
        </w:tc>
      </w:tr>
      <w:tr w:rsidR="00C5757D" w14:paraId="76BEE54F" w14:textId="77777777">
        <w:tc>
          <w:tcPr>
            <w:tcW w:w="6912" w:type="dxa"/>
            <w:tcBorders>
              <w:left w:val="single" w:sz="12" w:space="0" w:color="auto"/>
            </w:tcBorders>
            <w:shd w:val="clear" w:color="auto" w:fill="auto"/>
          </w:tcPr>
          <w:p w14:paraId="24AAAD22" w14:textId="77777777" w:rsidR="00C5757D" w:rsidRDefault="00C5757D" w:rsidP="007816ED">
            <w:r>
              <w:t>Beleidsstrategie</w:t>
            </w:r>
          </w:p>
        </w:tc>
        <w:tc>
          <w:tcPr>
            <w:tcW w:w="955" w:type="dxa"/>
            <w:tcBorders>
              <w:right w:val="single" w:sz="12" w:space="0" w:color="auto"/>
            </w:tcBorders>
            <w:shd w:val="clear" w:color="auto" w:fill="auto"/>
          </w:tcPr>
          <w:p w14:paraId="42C0BA7B" w14:textId="77777777" w:rsidR="00C5757D" w:rsidRDefault="00C5757D" w:rsidP="007816ED">
            <w:r>
              <w:t>4</w:t>
            </w:r>
          </w:p>
        </w:tc>
      </w:tr>
      <w:tr w:rsidR="00050D3F" w14:paraId="06EE1123" w14:textId="77777777">
        <w:tc>
          <w:tcPr>
            <w:tcW w:w="6912" w:type="dxa"/>
            <w:tcBorders>
              <w:left w:val="single" w:sz="12" w:space="0" w:color="auto"/>
            </w:tcBorders>
            <w:shd w:val="clear" w:color="auto" w:fill="auto"/>
          </w:tcPr>
          <w:p w14:paraId="66057538" w14:textId="74D95A57" w:rsidR="00050D3F" w:rsidRDefault="00050D3F" w:rsidP="007816ED">
            <w:proofErr w:type="spellStart"/>
            <w:r>
              <w:t>Theory</w:t>
            </w:r>
            <w:proofErr w:type="spellEnd"/>
            <w:r>
              <w:t xml:space="preserve"> of Change</w:t>
            </w:r>
          </w:p>
        </w:tc>
        <w:tc>
          <w:tcPr>
            <w:tcW w:w="955" w:type="dxa"/>
            <w:tcBorders>
              <w:right w:val="single" w:sz="12" w:space="0" w:color="auto"/>
            </w:tcBorders>
            <w:shd w:val="clear" w:color="auto" w:fill="auto"/>
          </w:tcPr>
          <w:p w14:paraId="7A6EC7A5" w14:textId="44DE3A0F" w:rsidR="00050D3F" w:rsidRDefault="00050D3F" w:rsidP="007816ED">
            <w:r>
              <w:t>-</w:t>
            </w:r>
          </w:p>
        </w:tc>
      </w:tr>
      <w:tr w:rsidR="00C5757D" w14:paraId="6E8F1B50" w14:textId="77777777">
        <w:tc>
          <w:tcPr>
            <w:tcW w:w="6912" w:type="dxa"/>
            <w:tcBorders>
              <w:top w:val="single" w:sz="4" w:space="0" w:color="auto"/>
              <w:left w:val="single" w:sz="12" w:space="0" w:color="auto"/>
              <w:bottom w:val="single" w:sz="4" w:space="0" w:color="auto"/>
            </w:tcBorders>
            <w:shd w:val="clear" w:color="auto" w:fill="auto"/>
          </w:tcPr>
          <w:p w14:paraId="16D69904" w14:textId="77777777" w:rsidR="00C5757D" w:rsidRDefault="00C5757D" w:rsidP="007816ED">
            <w:r>
              <w:t>Aansluiting Nationaal beleid / Armoedestrategie</w:t>
            </w:r>
          </w:p>
        </w:tc>
        <w:tc>
          <w:tcPr>
            <w:tcW w:w="955" w:type="dxa"/>
            <w:tcBorders>
              <w:bottom w:val="single" w:sz="4" w:space="0" w:color="auto"/>
              <w:right w:val="single" w:sz="12" w:space="0" w:color="auto"/>
            </w:tcBorders>
            <w:shd w:val="clear" w:color="auto" w:fill="auto"/>
          </w:tcPr>
          <w:p w14:paraId="41B8EDFF" w14:textId="77777777" w:rsidR="00C5757D" w:rsidRDefault="00C5757D" w:rsidP="007816ED">
            <w:r>
              <w:t>4</w:t>
            </w:r>
          </w:p>
        </w:tc>
      </w:tr>
      <w:tr w:rsidR="00C5757D" w14:paraId="4F9A0488" w14:textId="77777777" w:rsidTr="00E07BFF">
        <w:tc>
          <w:tcPr>
            <w:tcW w:w="6748" w:type="dxa"/>
            <w:tcBorders>
              <w:top w:val="single" w:sz="4" w:space="0" w:color="auto"/>
              <w:left w:val="single" w:sz="12" w:space="0" w:color="auto"/>
              <w:bottom w:val="single" w:sz="4" w:space="0" w:color="auto"/>
            </w:tcBorders>
            <w:shd w:val="clear" w:color="auto" w:fill="auto"/>
          </w:tcPr>
          <w:p w14:paraId="0317B770" w14:textId="77777777" w:rsidR="00C5757D" w:rsidRDefault="00C5757D" w:rsidP="007816ED">
            <w:r>
              <w:t xml:space="preserve">Verantwoording </w:t>
            </w:r>
          </w:p>
        </w:tc>
        <w:tc>
          <w:tcPr>
            <w:tcW w:w="949" w:type="dxa"/>
            <w:tcBorders>
              <w:bottom w:val="single" w:sz="4" w:space="0" w:color="auto"/>
              <w:right w:val="single" w:sz="12" w:space="0" w:color="auto"/>
            </w:tcBorders>
            <w:shd w:val="clear" w:color="auto" w:fill="auto"/>
          </w:tcPr>
          <w:p w14:paraId="3FE50267" w14:textId="77777777" w:rsidR="00C5757D" w:rsidRDefault="00C5757D" w:rsidP="007816ED">
            <w:r>
              <w:t>4</w:t>
            </w:r>
          </w:p>
        </w:tc>
      </w:tr>
      <w:tr w:rsidR="00C5757D" w14:paraId="74A32BC4" w14:textId="77777777" w:rsidTr="00E07BFF">
        <w:tc>
          <w:tcPr>
            <w:tcW w:w="6748" w:type="dxa"/>
            <w:tcBorders>
              <w:top w:val="single" w:sz="4" w:space="0" w:color="auto"/>
              <w:left w:val="single" w:sz="12" w:space="0" w:color="auto"/>
              <w:bottom w:val="single" w:sz="12" w:space="0" w:color="auto"/>
            </w:tcBorders>
            <w:shd w:val="clear" w:color="auto" w:fill="auto"/>
          </w:tcPr>
          <w:p w14:paraId="62ACC173" w14:textId="77777777" w:rsidR="00C5757D" w:rsidRDefault="00C5757D" w:rsidP="007816ED">
            <w:r>
              <w:t>Aanspreekbaarheid voor overige belanghebbenden</w:t>
            </w:r>
          </w:p>
        </w:tc>
        <w:tc>
          <w:tcPr>
            <w:tcW w:w="949" w:type="dxa"/>
            <w:tcBorders>
              <w:bottom w:val="single" w:sz="12" w:space="0" w:color="auto"/>
              <w:right w:val="single" w:sz="12" w:space="0" w:color="auto"/>
            </w:tcBorders>
            <w:shd w:val="clear" w:color="auto" w:fill="auto"/>
          </w:tcPr>
          <w:p w14:paraId="18865623" w14:textId="77777777" w:rsidR="00C5757D" w:rsidRDefault="00C5757D" w:rsidP="007816ED">
            <w:r>
              <w:t>3</w:t>
            </w:r>
          </w:p>
        </w:tc>
      </w:tr>
      <w:tr w:rsidR="00C5757D" w14:paraId="5CD2D877" w14:textId="77777777" w:rsidTr="00E07BFF">
        <w:tc>
          <w:tcPr>
            <w:tcW w:w="6748" w:type="dxa"/>
            <w:tcBorders>
              <w:top w:val="single" w:sz="12" w:space="0" w:color="auto"/>
              <w:left w:val="single" w:sz="12" w:space="0" w:color="auto"/>
              <w:bottom w:val="single" w:sz="12" w:space="0" w:color="auto"/>
            </w:tcBorders>
            <w:shd w:val="clear" w:color="auto" w:fill="D0CECE"/>
          </w:tcPr>
          <w:p w14:paraId="32D3011B" w14:textId="77777777" w:rsidR="00C5757D" w:rsidRPr="00EA0AA8" w:rsidRDefault="00C5757D" w:rsidP="007816ED">
            <w:pPr>
              <w:rPr>
                <w:b/>
              </w:rPr>
            </w:pPr>
            <w:r w:rsidRPr="00F313B0">
              <w:rPr>
                <w:b/>
              </w:rPr>
              <w:t>TOTAAL</w:t>
            </w:r>
          </w:p>
        </w:tc>
        <w:tc>
          <w:tcPr>
            <w:tcW w:w="949" w:type="dxa"/>
            <w:tcBorders>
              <w:top w:val="single" w:sz="12" w:space="0" w:color="auto"/>
              <w:bottom w:val="single" w:sz="12" w:space="0" w:color="auto"/>
              <w:right w:val="single" w:sz="12" w:space="0" w:color="auto"/>
            </w:tcBorders>
            <w:shd w:val="clear" w:color="auto" w:fill="D0CECE"/>
          </w:tcPr>
          <w:p w14:paraId="63DE28DF" w14:textId="77777777" w:rsidR="00C5757D" w:rsidRPr="00EA0AA8" w:rsidRDefault="00C5757D" w:rsidP="007816ED">
            <w:pPr>
              <w:rPr>
                <w:b/>
              </w:rPr>
            </w:pPr>
            <w:r>
              <w:rPr>
                <w:b/>
              </w:rPr>
              <w:t>4</w:t>
            </w:r>
          </w:p>
        </w:tc>
      </w:tr>
    </w:tbl>
    <w:p w14:paraId="1FC724D3" w14:textId="77777777" w:rsidR="00C5757D" w:rsidRDefault="00C5757D" w:rsidP="007816ED"/>
    <w:p w14:paraId="498CAF24" w14:textId="00F72DF9" w:rsidR="00C5757D" w:rsidRDefault="00C5757D" w:rsidP="00BC3A3B">
      <w:pPr>
        <w:ind w:firstLine="227"/>
        <w:rPr>
          <w:szCs w:val="18"/>
        </w:rPr>
      </w:pPr>
      <w:r w:rsidRPr="00193994">
        <w:t>Verandering</w:t>
      </w:r>
      <w:r>
        <w:t xml:space="preserve"> sinds 2015: positief</w:t>
      </w:r>
      <w:r w:rsidRPr="00193994">
        <w:t xml:space="preserve"> =  </w:t>
      </w:r>
      <w:r w:rsidRPr="00900C34">
        <w:rPr>
          <w:szCs w:val="18"/>
        </w:rPr>
        <w:sym w:font="Wingdings" w:char="F0E9"/>
      </w:r>
    </w:p>
    <w:p w14:paraId="25AB69E6" w14:textId="77777777" w:rsidR="00BC3A3B" w:rsidRDefault="00BC3A3B" w:rsidP="00BC3A3B">
      <w:pPr>
        <w:ind w:firstLine="227"/>
      </w:pPr>
    </w:p>
    <w:p w14:paraId="347BA8DF" w14:textId="0B513B06" w:rsidR="00C5757D" w:rsidRPr="000D4CC5" w:rsidRDefault="00C5757D" w:rsidP="002D1811">
      <w:pPr>
        <w:pStyle w:val="Heading2"/>
        <w:numPr>
          <w:ilvl w:val="1"/>
          <w:numId w:val="43"/>
        </w:numPr>
        <w:tabs>
          <w:tab w:val="left" w:pos="-1162"/>
          <w:tab w:val="left" w:pos="0"/>
        </w:tabs>
        <w:spacing w:line="240" w:lineRule="auto"/>
      </w:pPr>
      <w:r>
        <w:t xml:space="preserve">       </w:t>
      </w:r>
      <w:bookmarkStart w:id="41" w:name="_Toc484612349"/>
      <w:bookmarkStart w:id="42" w:name="_Toc491439914"/>
      <w:r w:rsidRPr="000D4CC5">
        <w:t>Resultaatgerichtheid en transparantie</w:t>
      </w:r>
      <w:bookmarkEnd w:id="41"/>
      <w:bookmarkEnd w:id="42"/>
    </w:p>
    <w:p w14:paraId="070A3554" w14:textId="4FBEF648" w:rsidR="00C5757D" w:rsidRDefault="00C5757D" w:rsidP="00212839">
      <w:pPr>
        <w:spacing w:beforeLines="1" w:before="2" w:afterLines="1" w:after="2" w:line="240" w:lineRule="auto"/>
        <w:rPr>
          <w:szCs w:val="18"/>
        </w:rPr>
      </w:pPr>
      <w:r w:rsidRPr="008A1072">
        <w:rPr>
          <w:szCs w:val="18"/>
        </w:rPr>
        <w:t xml:space="preserve">De Bank loopt internationaal voorop op het terrein van </w:t>
      </w:r>
      <w:r>
        <w:rPr>
          <w:szCs w:val="18"/>
        </w:rPr>
        <w:t>resultaatgericht</w:t>
      </w:r>
      <w:r w:rsidRPr="008A1072">
        <w:rPr>
          <w:szCs w:val="18"/>
        </w:rPr>
        <w:t xml:space="preserve"> management</w:t>
      </w:r>
      <w:r>
        <w:rPr>
          <w:szCs w:val="18"/>
        </w:rPr>
        <w:t xml:space="preserve"> en budgetteren</w:t>
      </w:r>
      <w:r w:rsidRPr="008A1072">
        <w:rPr>
          <w:szCs w:val="18"/>
        </w:rPr>
        <w:t xml:space="preserve">, monitoring en evaluatie, financieel management </w:t>
      </w:r>
      <w:r>
        <w:rPr>
          <w:szCs w:val="18"/>
        </w:rPr>
        <w:t>e</w:t>
      </w:r>
      <w:r w:rsidRPr="008A1072">
        <w:rPr>
          <w:szCs w:val="18"/>
        </w:rPr>
        <w:t xml:space="preserve">n het toegankelijk maken van data, projectgegevens en kennis. </w:t>
      </w:r>
      <w:r w:rsidRPr="00CE397F">
        <w:rPr>
          <w:szCs w:val="18"/>
        </w:rPr>
        <w:t xml:space="preserve">De landenstrategieën </w:t>
      </w:r>
      <w:r>
        <w:rPr>
          <w:szCs w:val="18"/>
        </w:rPr>
        <w:t xml:space="preserve">zijn uitgangspunt, en hebben </w:t>
      </w:r>
      <w:r w:rsidRPr="00CE397F">
        <w:rPr>
          <w:szCs w:val="18"/>
        </w:rPr>
        <w:t xml:space="preserve">een raamwerk waarin specifieke resultaten worden geformuleerd. Voortgang op </w:t>
      </w:r>
      <w:r>
        <w:rPr>
          <w:szCs w:val="18"/>
        </w:rPr>
        <w:t>algemene</w:t>
      </w:r>
      <w:r w:rsidRPr="00CE397F">
        <w:rPr>
          <w:szCs w:val="18"/>
        </w:rPr>
        <w:t xml:space="preserve"> resultaten wordt via een universele set van </w:t>
      </w:r>
      <w:r w:rsidRPr="00CE397F">
        <w:rPr>
          <w:szCs w:val="18"/>
        </w:rPr>
        <w:lastRenderedPageBreak/>
        <w:t>output-indicatoren gemeten</w:t>
      </w:r>
      <w:r>
        <w:rPr>
          <w:szCs w:val="18"/>
        </w:rPr>
        <w:t xml:space="preserve"> en gepubliceerd in de </w:t>
      </w:r>
      <w:r w:rsidRPr="00CE283F">
        <w:rPr>
          <w:i/>
          <w:szCs w:val="18"/>
        </w:rPr>
        <w:t>corporate scorecards</w:t>
      </w:r>
      <w:r w:rsidRPr="00CE397F">
        <w:rPr>
          <w:szCs w:val="18"/>
        </w:rPr>
        <w:t xml:space="preserve">. De Bank heeft daar een extra terugkoppelingsmoment aan toegevoegd: de zgn. </w:t>
      </w:r>
      <w:proofErr w:type="spellStart"/>
      <w:r w:rsidRPr="00AC0D7A">
        <w:rPr>
          <w:i/>
          <w:szCs w:val="18"/>
        </w:rPr>
        <w:t>beneficiary</w:t>
      </w:r>
      <w:proofErr w:type="spellEnd"/>
      <w:r w:rsidRPr="00AC0D7A">
        <w:rPr>
          <w:i/>
          <w:szCs w:val="18"/>
        </w:rPr>
        <w:t xml:space="preserve"> feedback in real time</w:t>
      </w:r>
      <w:r w:rsidRPr="00CE397F">
        <w:rPr>
          <w:szCs w:val="18"/>
        </w:rPr>
        <w:t xml:space="preserve">. Dit maakt het mogelijk om tijdens de looptijd van programma’s strategische aanpassingen te maken. </w:t>
      </w:r>
    </w:p>
    <w:p w14:paraId="2DAC817A" w14:textId="77777777" w:rsidR="00C5757D" w:rsidRPr="00CE397F" w:rsidRDefault="00C5757D" w:rsidP="00212839">
      <w:pPr>
        <w:spacing w:beforeLines="1" w:before="2" w:afterLines="1" w:after="2" w:line="240" w:lineRule="auto"/>
        <w:rPr>
          <w:szCs w:val="18"/>
        </w:rPr>
      </w:pPr>
      <w:r w:rsidRPr="00CE397F">
        <w:rPr>
          <w:szCs w:val="18"/>
        </w:rPr>
        <w:t xml:space="preserve">IDA hanteert een vastgestelde systematiek voor de allocatie van middelen, het </w:t>
      </w:r>
      <w:r w:rsidRPr="00AC0D7A">
        <w:rPr>
          <w:i/>
          <w:szCs w:val="18"/>
        </w:rPr>
        <w:t xml:space="preserve">Performance </w:t>
      </w:r>
      <w:proofErr w:type="spellStart"/>
      <w:r w:rsidRPr="00AC0D7A">
        <w:rPr>
          <w:i/>
          <w:szCs w:val="18"/>
        </w:rPr>
        <w:t>Based</w:t>
      </w:r>
      <w:proofErr w:type="spellEnd"/>
      <w:r w:rsidRPr="00AC0D7A">
        <w:rPr>
          <w:i/>
          <w:szCs w:val="18"/>
        </w:rPr>
        <w:t xml:space="preserve"> </w:t>
      </w:r>
      <w:proofErr w:type="spellStart"/>
      <w:r w:rsidRPr="00AC0D7A">
        <w:rPr>
          <w:i/>
          <w:szCs w:val="18"/>
        </w:rPr>
        <w:t>Allocation</w:t>
      </w:r>
      <w:proofErr w:type="spellEnd"/>
      <w:r w:rsidRPr="00CE397F">
        <w:rPr>
          <w:szCs w:val="18"/>
        </w:rPr>
        <w:t xml:space="preserve"> system. Landen krijgen een score op basis van gepubliceerde en meetbare indicatoren. Middelen worden meerjarig gecommitteerd en (kunnen) worden verhoogd als er goede ontwikkelingsresultaten worden behaald. </w:t>
      </w:r>
    </w:p>
    <w:p w14:paraId="4DEFF45E" w14:textId="77777777" w:rsidR="00C5757D" w:rsidRPr="00CE397F" w:rsidRDefault="00C5757D" w:rsidP="00212839">
      <w:pPr>
        <w:spacing w:beforeLines="1" w:before="2" w:afterLines="1" w:after="2" w:line="240" w:lineRule="auto"/>
      </w:pPr>
      <w:r w:rsidRPr="00CE397F">
        <w:rPr>
          <w:szCs w:val="18"/>
        </w:rPr>
        <w:t xml:space="preserve">In 2012 introduceerde de Bank een nieuw financieringsinstrument – </w:t>
      </w:r>
      <w:r w:rsidRPr="00AC0D7A">
        <w:rPr>
          <w:i/>
          <w:szCs w:val="18"/>
        </w:rPr>
        <w:t xml:space="preserve">Program </w:t>
      </w:r>
      <w:proofErr w:type="spellStart"/>
      <w:r w:rsidRPr="00AC0D7A">
        <w:rPr>
          <w:i/>
          <w:szCs w:val="18"/>
        </w:rPr>
        <w:t>for</w:t>
      </w:r>
      <w:proofErr w:type="spellEnd"/>
      <w:r w:rsidRPr="00AC0D7A">
        <w:rPr>
          <w:i/>
          <w:szCs w:val="18"/>
        </w:rPr>
        <w:t xml:space="preserve"> </w:t>
      </w:r>
      <w:proofErr w:type="spellStart"/>
      <w:r w:rsidRPr="00AC0D7A">
        <w:rPr>
          <w:i/>
          <w:szCs w:val="18"/>
        </w:rPr>
        <w:t>Results</w:t>
      </w:r>
      <w:proofErr w:type="spellEnd"/>
      <w:r w:rsidRPr="00CE397F">
        <w:rPr>
          <w:szCs w:val="18"/>
        </w:rPr>
        <w:t xml:space="preserve"> (P4R) - waarbij financiële middelen op basis van gerealiseerde resultaten worden verstrekt in de vorm van sectorale budgetsteun.</w:t>
      </w:r>
    </w:p>
    <w:p w14:paraId="097EAC31" w14:textId="77777777" w:rsidR="00C5757D" w:rsidRPr="00CE397F" w:rsidRDefault="00C5757D" w:rsidP="00212839">
      <w:pPr>
        <w:spacing w:beforeLines="1" w:before="2" w:afterLines="1" w:after="2" w:line="240" w:lineRule="auto"/>
      </w:pPr>
      <w:r w:rsidRPr="00CE397F">
        <w:rPr>
          <w:szCs w:val="18"/>
        </w:rPr>
        <w:t xml:space="preserve">De Bank werkt volgens het principe van </w:t>
      </w:r>
      <w:proofErr w:type="spellStart"/>
      <w:r w:rsidRPr="00AC0D7A">
        <w:rPr>
          <w:i/>
          <w:szCs w:val="18"/>
        </w:rPr>
        <w:t>Quality</w:t>
      </w:r>
      <w:proofErr w:type="spellEnd"/>
      <w:r w:rsidRPr="00AC0D7A">
        <w:rPr>
          <w:i/>
          <w:szCs w:val="18"/>
        </w:rPr>
        <w:t xml:space="preserve"> at Entry</w:t>
      </w:r>
      <w:r w:rsidRPr="00CE397F">
        <w:rPr>
          <w:szCs w:val="18"/>
        </w:rPr>
        <w:t xml:space="preserve">, waarbij in het ontwerptraject van programma’s en projecten extra aandacht wordt besteed aan geleerde lessen, het in kaart brengen van potentiële risico’s en maatregelen om deze risico’s zoveel mogelijk te beperken, en het formuleren van betere resultaatketens. </w:t>
      </w:r>
    </w:p>
    <w:p w14:paraId="5BA098CF" w14:textId="04DAE3BB" w:rsidR="00C5757D" w:rsidRPr="00CE397F" w:rsidRDefault="00C5757D" w:rsidP="00212839">
      <w:pPr>
        <w:spacing w:beforeLines="1" w:before="2" w:afterLines="1" w:after="2" w:line="240" w:lineRule="auto"/>
      </w:pPr>
      <w:r w:rsidRPr="00CE397F">
        <w:t xml:space="preserve">Het </w:t>
      </w:r>
      <w:r w:rsidRPr="00AC0D7A">
        <w:rPr>
          <w:i/>
        </w:rPr>
        <w:t xml:space="preserve">Access </w:t>
      </w:r>
      <w:proofErr w:type="spellStart"/>
      <w:r w:rsidRPr="00AC0D7A">
        <w:rPr>
          <w:i/>
        </w:rPr>
        <w:t>to</w:t>
      </w:r>
      <w:proofErr w:type="spellEnd"/>
      <w:r w:rsidRPr="00AC0D7A">
        <w:rPr>
          <w:i/>
        </w:rPr>
        <w:t xml:space="preserve"> Information</w:t>
      </w:r>
      <w:r w:rsidRPr="00CE397F">
        <w:t xml:space="preserve"> beleid van de Bank dat in 2010 werd gepubliceerd kan als baanbrekend worden aangemerkt. Sinds 2015 overstijgt de Bank de IATI vereisten. In de IATI </w:t>
      </w:r>
      <w:proofErr w:type="spellStart"/>
      <w:r w:rsidRPr="00AC0D7A">
        <w:rPr>
          <w:i/>
        </w:rPr>
        <w:t>Aid</w:t>
      </w:r>
      <w:proofErr w:type="spellEnd"/>
      <w:r w:rsidRPr="00AC0D7A">
        <w:rPr>
          <w:i/>
        </w:rPr>
        <w:t xml:space="preserve"> </w:t>
      </w:r>
      <w:proofErr w:type="spellStart"/>
      <w:r w:rsidRPr="00AC0D7A">
        <w:rPr>
          <w:i/>
        </w:rPr>
        <w:t>Transparancy</w:t>
      </w:r>
      <w:proofErr w:type="spellEnd"/>
      <w:r w:rsidRPr="00AC0D7A">
        <w:rPr>
          <w:i/>
        </w:rPr>
        <w:t xml:space="preserve"> Index</w:t>
      </w:r>
      <w:r w:rsidRPr="00CE397F">
        <w:t xml:space="preserve"> maakt de Bank deel uit van de hoogste categorie performers op plek 6 met een score van 86,1%. De WBG publiceert zoveel mogelijk </w:t>
      </w:r>
      <w:r>
        <w:t xml:space="preserve">data </w:t>
      </w:r>
      <w:r w:rsidRPr="00CE397F">
        <w:t xml:space="preserve">en ontsluit informatie over bereikte resultaten via de </w:t>
      </w:r>
      <w:r w:rsidRPr="00A302CA">
        <w:rPr>
          <w:i/>
        </w:rPr>
        <w:t>corporate scorecards</w:t>
      </w:r>
      <w:r w:rsidRPr="00CE397F">
        <w:t xml:space="preserve"> en </w:t>
      </w:r>
      <w:r>
        <w:t xml:space="preserve">de </w:t>
      </w:r>
      <w:r w:rsidR="00E671F4">
        <w:t>IDA</w:t>
      </w:r>
      <w:r w:rsidR="00E671F4" w:rsidRPr="00CE397F">
        <w:t>-resultatensite</w:t>
      </w:r>
      <w:r w:rsidRPr="00CE397F">
        <w:t xml:space="preserve">. </w:t>
      </w:r>
    </w:p>
    <w:p w14:paraId="3B132234" w14:textId="77777777" w:rsidR="00C5757D" w:rsidRDefault="00C5757D" w:rsidP="007816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C5757D" w:rsidRPr="00EA0AA8" w14:paraId="48352D02" w14:textId="77777777">
        <w:tc>
          <w:tcPr>
            <w:tcW w:w="6912" w:type="dxa"/>
            <w:tcBorders>
              <w:top w:val="single" w:sz="12" w:space="0" w:color="auto"/>
              <w:left w:val="single" w:sz="12" w:space="0" w:color="auto"/>
              <w:bottom w:val="single" w:sz="12" w:space="0" w:color="auto"/>
            </w:tcBorders>
            <w:shd w:val="clear" w:color="auto" w:fill="D0CECE"/>
          </w:tcPr>
          <w:p w14:paraId="6813F908" w14:textId="77777777" w:rsidR="00C5757D" w:rsidRPr="00EA0AA8" w:rsidRDefault="00C5757D" w:rsidP="007816ED">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6145A76F" w14:textId="77777777" w:rsidR="00C5757D" w:rsidRPr="00EA0AA8" w:rsidRDefault="00C5757D" w:rsidP="007816ED">
            <w:pPr>
              <w:rPr>
                <w:b/>
              </w:rPr>
            </w:pPr>
            <w:r w:rsidRPr="00EA0AA8">
              <w:rPr>
                <w:b/>
              </w:rPr>
              <w:t>Score</w:t>
            </w:r>
          </w:p>
        </w:tc>
      </w:tr>
      <w:tr w:rsidR="00C5757D" w14:paraId="06AE3F3D" w14:textId="77777777">
        <w:tc>
          <w:tcPr>
            <w:tcW w:w="6912" w:type="dxa"/>
            <w:tcBorders>
              <w:top w:val="single" w:sz="12" w:space="0" w:color="auto"/>
              <w:left w:val="single" w:sz="12" w:space="0" w:color="auto"/>
            </w:tcBorders>
            <w:shd w:val="clear" w:color="auto" w:fill="auto"/>
          </w:tcPr>
          <w:p w14:paraId="3B0C7DD8" w14:textId="77777777" w:rsidR="00C5757D" w:rsidRDefault="00C5757D" w:rsidP="007816ED">
            <w:r>
              <w:t>RBM en RBB</w:t>
            </w:r>
          </w:p>
        </w:tc>
        <w:tc>
          <w:tcPr>
            <w:tcW w:w="955" w:type="dxa"/>
            <w:tcBorders>
              <w:top w:val="single" w:sz="12" w:space="0" w:color="auto"/>
              <w:right w:val="single" w:sz="12" w:space="0" w:color="auto"/>
            </w:tcBorders>
            <w:shd w:val="clear" w:color="auto" w:fill="auto"/>
          </w:tcPr>
          <w:p w14:paraId="69449252" w14:textId="77777777" w:rsidR="00C5757D" w:rsidRDefault="00C5757D" w:rsidP="007816ED">
            <w:r>
              <w:t>4</w:t>
            </w:r>
          </w:p>
        </w:tc>
      </w:tr>
      <w:tr w:rsidR="00C5757D" w14:paraId="39FA8765" w14:textId="77777777">
        <w:tc>
          <w:tcPr>
            <w:tcW w:w="6912" w:type="dxa"/>
            <w:tcBorders>
              <w:left w:val="single" w:sz="12" w:space="0" w:color="auto"/>
            </w:tcBorders>
            <w:shd w:val="clear" w:color="auto" w:fill="auto"/>
          </w:tcPr>
          <w:p w14:paraId="65BCCCC4" w14:textId="77777777" w:rsidR="00C5757D" w:rsidRDefault="00C5757D" w:rsidP="007816ED">
            <w:r>
              <w:t>Inzichtelijk maken resultaten</w:t>
            </w:r>
          </w:p>
        </w:tc>
        <w:tc>
          <w:tcPr>
            <w:tcW w:w="955" w:type="dxa"/>
            <w:tcBorders>
              <w:right w:val="single" w:sz="12" w:space="0" w:color="auto"/>
            </w:tcBorders>
            <w:shd w:val="clear" w:color="auto" w:fill="auto"/>
          </w:tcPr>
          <w:p w14:paraId="17087198" w14:textId="77777777" w:rsidR="00C5757D" w:rsidRDefault="00C5757D" w:rsidP="007816ED">
            <w:r>
              <w:t>4</w:t>
            </w:r>
          </w:p>
        </w:tc>
      </w:tr>
      <w:tr w:rsidR="00C5757D" w14:paraId="5499B144" w14:textId="77777777">
        <w:tc>
          <w:tcPr>
            <w:tcW w:w="6912" w:type="dxa"/>
            <w:tcBorders>
              <w:left w:val="single" w:sz="12" w:space="0" w:color="auto"/>
            </w:tcBorders>
            <w:shd w:val="clear" w:color="auto" w:fill="auto"/>
          </w:tcPr>
          <w:p w14:paraId="5B2909DA" w14:textId="77777777" w:rsidR="00C5757D" w:rsidRDefault="00C5757D" w:rsidP="007816ED">
            <w:r>
              <w:t>Inzichtelijk maken allocatie van middelen (o.a. IATI)</w:t>
            </w:r>
          </w:p>
        </w:tc>
        <w:tc>
          <w:tcPr>
            <w:tcW w:w="955" w:type="dxa"/>
            <w:tcBorders>
              <w:right w:val="single" w:sz="12" w:space="0" w:color="auto"/>
            </w:tcBorders>
            <w:shd w:val="clear" w:color="auto" w:fill="auto"/>
          </w:tcPr>
          <w:p w14:paraId="506BDA11" w14:textId="77777777" w:rsidR="00C5757D" w:rsidRDefault="00C5757D" w:rsidP="007816ED">
            <w:r>
              <w:t>4</w:t>
            </w:r>
          </w:p>
        </w:tc>
      </w:tr>
      <w:tr w:rsidR="00C5757D" w14:paraId="4EB1E803" w14:textId="77777777">
        <w:tc>
          <w:tcPr>
            <w:tcW w:w="6912" w:type="dxa"/>
            <w:tcBorders>
              <w:left w:val="single" w:sz="12" w:space="0" w:color="auto"/>
              <w:bottom w:val="single" w:sz="12" w:space="0" w:color="auto"/>
            </w:tcBorders>
            <w:shd w:val="clear" w:color="auto" w:fill="auto"/>
          </w:tcPr>
          <w:p w14:paraId="2732578B" w14:textId="77777777" w:rsidR="00C5757D" w:rsidRDefault="00C5757D" w:rsidP="007816ED">
            <w:r>
              <w:t>Communicatie over resultaten</w:t>
            </w:r>
          </w:p>
        </w:tc>
        <w:tc>
          <w:tcPr>
            <w:tcW w:w="955" w:type="dxa"/>
            <w:tcBorders>
              <w:bottom w:val="single" w:sz="12" w:space="0" w:color="auto"/>
              <w:right w:val="single" w:sz="12" w:space="0" w:color="auto"/>
            </w:tcBorders>
            <w:shd w:val="clear" w:color="auto" w:fill="auto"/>
          </w:tcPr>
          <w:p w14:paraId="5155412B" w14:textId="77777777" w:rsidR="00C5757D" w:rsidRDefault="00C5757D" w:rsidP="007816ED">
            <w:r>
              <w:t>4</w:t>
            </w:r>
          </w:p>
        </w:tc>
      </w:tr>
      <w:tr w:rsidR="00C5757D" w:rsidRPr="00EA0AA8" w14:paraId="6ABB14B0" w14:textId="77777777">
        <w:tc>
          <w:tcPr>
            <w:tcW w:w="6912" w:type="dxa"/>
            <w:tcBorders>
              <w:top w:val="single" w:sz="12" w:space="0" w:color="auto"/>
              <w:left w:val="single" w:sz="12" w:space="0" w:color="auto"/>
              <w:bottom w:val="single" w:sz="12" w:space="0" w:color="auto"/>
            </w:tcBorders>
            <w:shd w:val="clear" w:color="auto" w:fill="D0CECE"/>
          </w:tcPr>
          <w:p w14:paraId="1A1E8951" w14:textId="77777777" w:rsidR="00C5757D" w:rsidRPr="00EA0AA8" w:rsidRDefault="00C5757D" w:rsidP="007816ED">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2086B42E" w14:textId="77777777" w:rsidR="00C5757D" w:rsidRPr="00EA0AA8" w:rsidRDefault="00C5757D" w:rsidP="007816ED">
            <w:pPr>
              <w:rPr>
                <w:b/>
              </w:rPr>
            </w:pPr>
            <w:r>
              <w:rPr>
                <w:b/>
              </w:rPr>
              <w:t>4</w:t>
            </w:r>
          </w:p>
        </w:tc>
      </w:tr>
    </w:tbl>
    <w:p w14:paraId="261584D2" w14:textId="77777777" w:rsidR="00C5757D" w:rsidRDefault="00C5757D" w:rsidP="007816ED">
      <w:pPr>
        <w:rPr>
          <w:b/>
        </w:rPr>
      </w:pPr>
    </w:p>
    <w:p w14:paraId="52E41AD7" w14:textId="3A28BA3C" w:rsidR="00C5757D" w:rsidRDefault="00C5757D" w:rsidP="00BC3A3B">
      <w:pPr>
        <w:ind w:firstLine="227"/>
      </w:pPr>
      <w:r w:rsidRPr="00193994">
        <w:t>Ver</w:t>
      </w:r>
      <w:r>
        <w:t>andering sinds 2015: neutraal</w:t>
      </w:r>
      <w:r w:rsidRPr="00193994">
        <w:t xml:space="preserve"> = </w:t>
      </w:r>
      <w:r w:rsidRPr="00193994">
        <w:sym w:font="Wingdings" w:char="F0E8"/>
      </w:r>
    </w:p>
    <w:p w14:paraId="477D5482" w14:textId="77777777" w:rsidR="00BC3A3B" w:rsidRPr="002D1811" w:rsidRDefault="00BC3A3B" w:rsidP="00BC3A3B">
      <w:pPr>
        <w:ind w:firstLine="227"/>
        <w:rPr>
          <w:b/>
        </w:rPr>
      </w:pPr>
    </w:p>
    <w:p w14:paraId="10EA23DA" w14:textId="2880842E" w:rsidR="00C5757D" w:rsidRPr="002D1811" w:rsidRDefault="00C5757D" w:rsidP="007816ED">
      <w:pPr>
        <w:pStyle w:val="Heading2"/>
        <w:numPr>
          <w:ilvl w:val="1"/>
          <w:numId w:val="43"/>
        </w:numPr>
        <w:tabs>
          <w:tab w:val="left" w:pos="-1162"/>
          <w:tab w:val="left" w:pos="0"/>
        </w:tabs>
        <w:spacing w:line="240" w:lineRule="auto"/>
        <w:ind w:left="0" w:hanging="1134"/>
        <w:rPr>
          <w:lang w:val="en-US"/>
        </w:rPr>
      </w:pPr>
      <w:bookmarkStart w:id="43" w:name="_Toc484612350"/>
      <w:bookmarkStart w:id="44" w:name="_Toc491439915"/>
      <w:r w:rsidRPr="00A13499">
        <w:t>Partnerschappen</w:t>
      </w:r>
      <w:r>
        <w:t xml:space="preserve"> en samenwerking</w:t>
      </w:r>
      <w:bookmarkEnd w:id="43"/>
      <w:bookmarkEnd w:id="44"/>
    </w:p>
    <w:p w14:paraId="016E1B72" w14:textId="67F5FA40" w:rsidR="00C5757D" w:rsidRDefault="00C5757D" w:rsidP="007816ED">
      <w:r w:rsidRPr="003055C3">
        <w:t>De B</w:t>
      </w:r>
      <w:r>
        <w:t>ank</w:t>
      </w:r>
      <w:r w:rsidRPr="003055C3">
        <w:t xml:space="preserve"> werkt op basis van partnerschappen met overheden, andere (multilaterale en bilaterale) ontwikkelingsbanken en </w:t>
      </w:r>
      <w:r>
        <w:t>I</w:t>
      </w:r>
      <w:r w:rsidRPr="003055C3">
        <w:t xml:space="preserve">nternationale </w:t>
      </w:r>
      <w:r>
        <w:t>F</w:t>
      </w:r>
      <w:r w:rsidRPr="003055C3">
        <w:t xml:space="preserve">inanciële </w:t>
      </w:r>
      <w:r>
        <w:t>I</w:t>
      </w:r>
      <w:r w:rsidRPr="003055C3">
        <w:t xml:space="preserve">nstellingen, bedrijven, kennisinstituten, actoren uit het maatschappelijk middenveld en donoren, op zowel mondiaal, regionaal als nationaal niveau. </w:t>
      </w:r>
      <w:r>
        <w:t>Via</w:t>
      </w:r>
      <w:r w:rsidRPr="003055C3">
        <w:t xml:space="preserve"> samenwerkingsverbanden met bedrijven en private fondsen, kan de Bank een ontwikkelingsimpact generen die verder gaat dan bij het aanwenden </w:t>
      </w:r>
      <w:r>
        <w:t xml:space="preserve">van uitsluitend eigen middelen. </w:t>
      </w:r>
      <w:r w:rsidRPr="003055C3">
        <w:t xml:space="preserve">De samenwerking met de VN is de laatste jaren sterk verbeterd, al blijft het zaak om de competenties en verantwoordelijkheden goed te blijven afbakenen. Daarnaast </w:t>
      </w:r>
      <w:r>
        <w:t xml:space="preserve">ontwikkelt </w:t>
      </w:r>
      <w:r w:rsidRPr="003055C3">
        <w:t xml:space="preserve">de Bank steeds meer programma’s samen met de andere Wereldbankgroep-onderdelen IFC en MIGA, de zogenaamde </w:t>
      </w:r>
      <w:proofErr w:type="spellStart"/>
      <w:r w:rsidRPr="003055C3">
        <w:rPr>
          <w:i/>
        </w:rPr>
        <w:t>One</w:t>
      </w:r>
      <w:proofErr w:type="spellEnd"/>
      <w:r w:rsidRPr="003055C3">
        <w:rPr>
          <w:i/>
        </w:rPr>
        <w:t xml:space="preserve"> World Bank Group approach.</w:t>
      </w:r>
      <w:r>
        <w:rPr>
          <w:i/>
        </w:rPr>
        <w:t xml:space="preserve"> </w:t>
      </w:r>
      <w:r w:rsidRPr="00126A17">
        <w:t>Een voorbeeld hiervan is het in 201</w:t>
      </w:r>
      <w:r>
        <w:t>7</w:t>
      </w:r>
      <w:r w:rsidRPr="00126A17">
        <w:t xml:space="preserve"> tot stand gekomen </w:t>
      </w:r>
      <w:r w:rsidRPr="00126A17">
        <w:rPr>
          <w:i/>
        </w:rPr>
        <w:t xml:space="preserve">Private Sector </w:t>
      </w:r>
      <w:proofErr w:type="spellStart"/>
      <w:r w:rsidRPr="00126A17">
        <w:rPr>
          <w:i/>
        </w:rPr>
        <w:t>Window</w:t>
      </w:r>
      <w:proofErr w:type="spellEnd"/>
      <w:r w:rsidRPr="00126A17">
        <w:t xml:space="preserve"> van IDA. Doordat </w:t>
      </w:r>
      <w:r w:rsidR="00E671F4">
        <w:t xml:space="preserve">IDA </w:t>
      </w:r>
      <w:r w:rsidR="00E671F4" w:rsidRPr="00126A17">
        <w:t>investeringsrisico</w:t>
      </w:r>
      <w:r w:rsidRPr="00126A17">
        <w:t xml:space="preserve"> op haar balans neemt, </w:t>
      </w:r>
      <w:r>
        <w:t>zullen</w:t>
      </w:r>
      <w:r w:rsidRPr="00126A17">
        <w:t xml:space="preserve"> de private sector –en garantietakken van de Bank – IFC en MIGA – in staat </w:t>
      </w:r>
      <w:r>
        <w:t xml:space="preserve">worden </w:t>
      </w:r>
      <w:r w:rsidRPr="00126A17">
        <w:t xml:space="preserve">gesteld om nog meer te doen in met name </w:t>
      </w:r>
      <w:r>
        <w:t xml:space="preserve">de </w:t>
      </w:r>
      <w:r w:rsidRPr="00126A17">
        <w:t xml:space="preserve">fragiele staten, waar </w:t>
      </w:r>
      <w:r>
        <w:t xml:space="preserve">de </w:t>
      </w:r>
      <w:r w:rsidRPr="00126A17">
        <w:t>risico’s groter zijn.</w:t>
      </w:r>
    </w:p>
    <w:p w14:paraId="781F8F32" w14:textId="77777777" w:rsidR="00C5757D" w:rsidRPr="00AC0D7A" w:rsidRDefault="00C5757D" w:rsidP="007816ED"/>
    <w:p w14:paraId="6DC56680" w14:textId="0B905420" w:rsidR="00C5757D" w:rsidRDefault="00C5757D" w:rsidP="007816ED">
      <w:r w:rsidRPr="003055C3">
        <w:t xml:space="preserve">In de </w:t>
      </w:r>
      <w:r>
        <w:t>uitvoering van programma’s</w:t>
      </w:r>
      <w:r w:rsidRPr="003055C3">
        <w:t xml:space="preserve"> zijn publiek-private partnerschappen (</w:t>
      </w:r>
      <w:proofErr w:type="spellStart"/>
      <w:r w:rsidRPr="003055C3">
        <w:t>PPP’s</w:t>
      </w:r>
      <w:proofErr w:type="spellEnd"/>
      <w:r w:rsidRPr="003055C3">
        <w:t>) van groot strategisch bel</w:t>
      </w:r>
      <w:r>
        <w:t xml:space="preserve">ang voor de Bank. Zo maakt het </w:t>
      </w:r>
      <w:r w:rsidRPr="003055C3">
        <w:t xml:space="preserve">bevorderen van </w:t>
      </w:r>
      <w:proofErr w:type="spellStart"/>
      <w:r w:rsidRPr="003055C3">
        <w:t>PP</w:t>
      </w:r>
      <w:r>
        <w:t>P’s</w:t>
      </w:r>
      <w:proofErr w:type="spellEnd"/>
      <w:r>
        <w:t xml:space="preserve"> integraal deel uit van de WBG-</w:t>
      </w:r>
      <w:r w:rsidRPr="003055C3">
        <w:t>strategie</w:t>
      </w:r>
      <w:r>
        <w:t xml:space="preserve"> als belangrijk doorsnijdend thema. De samenwerking met het (vooral lokaal) maatschappelijk middenveld is verbeterd met het </w:t>
      </w:r>
      <w:r w:rsidRPr="00607CF3">
        <w:rPr>
          <w:i/>
        </w:rPr>
        <w:t xml:space="preserve">Global Partnership </w:t>
      </w:r>
      <w:proofErr w:type="spellStart"/>
      <w:r w:rsidRPr="00607CF3">
        <w:rPr>
          <w:i/>
        </w:rPr>
        <w:t>for</w:t>
      </w:r>
      <w:proofErr w:type="spellEnd"/>
      <w:r w:rsidRPr="00607CF3">
        <w:rPr>
          <w:i/>
        </w:rPr>
        <w:t xml:space="preserve"> </w:t>
      </w:r>
      <w:proofErr w:type="spellStart"/>
      <w:r w:rsidRPr="00607CF3">
        <w:rPr>
          <w:i/>
        </w:rPr>
        <w:t>Social</w:t>
      </w:r>
      <w:proofErr w:type="spellEnd"/>
      <w:r w:rsidRPr="00607CF3">
        <w:rPr>
          <w:i/>
        </w:rPr>
        <w:t xml:space="preserve"> Accountability</w:t>
      </w:r>
      <w:r>
        <w:t xml:space="preserve"> (GPSA), waarbij Nederland één van de </w:t>
      </w:r>
      <w:r>
        <w:lastRenderedPageBreak/>
        <w:t xml:space="preserve">zogenaamde </w:t>
      </w:r>
      <w:r w:rsidRPr="00607CF3">
        <w:rPr>
          <w:i/>
        </w:rPr>
        <w:t>Global Partners</w:t>
      </w:r>
      <w:r>
        <w:t xml:space="preserve"> is.  Het GPSA sluit goed aan bij het Nederlands beleid om de capaciteit van lokale </w:t>
      </w:r>
      <w:proofErr w:type="spellStart"/>
      <w:r>
        <w:t>NGO’s</w:t>
      </w:r>
      <w:proofErr w:type="spellEnd"/>
      <w:r>
        <w:t xml:space="preserve"> te versterken.</w:t>
      </w:r>
    </w:p>
    <w:p w14:paraId="48FA331C" w14:textId="77777777" w:rsidR="00C5757D" w:rsidRDefault="00C5757D" w:rsidP="007816ED"/>
    <w:p w14:paraId="4187A7B1" w14:textId="342D4DA2" w:rsidR="00C5757D" w:rsidRDefault="00C5757D" w:rsidP="00623590">
      <w:r>
        <w:t>De Bank</w:t>
      </w:r>
      <w:r w:rsidRPr="003055C3">
        <w:t xml:space="preserve">, IFC en MIGA weten hun comparatieve krachten </w:t>
      </w:r>
      <w:r>
        <w:t xml:space="preserve">op het hoofdkantoor </w:t>
      </w:r>
      <w:r w:rsidRPr="003055C3">
        <w:t>veelal op de juiste wijze te bundelen, maar kunnen</w:t>
      </w:r>
      <w:r>
        <w:t xml:space="preserve"> soms</w:t>
      </w:r>
      <w:r w:rsidRPr="003055C3">
        <w:t xml:space="preserve"> </w:t>
      </w:r>
      <w:r w:rsidRPr="00AC0D7A">
        <w:t>strategischer opereren en meer maatwerk leveren</w:t>
      </w:r>
      <w:r w:rsidRPr="003055C3">
        <w:t xml:space="preserve"> op land- en projectniveau</w:t>
      </w:r>
      <w:r>
        <w:t xml:space="preserve">, door </w:t>
      </w:r>
      <w:r w:rsidRPr="003055C3">
        <w:t xml:space="preserve">in sommige gevallen </w:t>
      </w:r>
      <w:r>
        <w:t xml:space="preserve">beter af te stemmen </w:t>
      </w:r>
      <w:r w:rsidRPr="003055C3">
        <w:t>met de donorgemeenschap</w:t>
      </w:r>
      <w:r>
        <w:t xml:space="preserve">, maatschappelijke </w:t>
      </w:r>
      <w:r w:rsidR="00E671F4">
        <w:t>organisaties</w:t>
      </w:r>
      <w:r w:rsidRPr="003055C3">
        <w:t xml:space="preserve"> en andere spelers.</w:t>
      </w:r>
    </w:p>
    <w:p w14:paraId="0C390812" w14:textId="77777777" w:rsidR="00C5757D" w:rsidRPr="00ED2F32" w:rsidRDefault="00C5757D" w:rsidP="007816ED">
      <w:pPr>
        <w:ind w:left="-454"/>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C5757D" w:rsidRPr="00EA0AA8" w14:paraId="7B71BAFD" w14:textId="77777777">
        <w:tc>
          <w:tcPr>
            <w:tcW w:w="6912" w:type="dxa"/>
            <w:tcBorders>
              <w:top w:val="single" w:sz="12" w:space="0" w:color="auto"/>
              <w:left w:val="single" w:sz="12" w:space="0" w:color="auto"/>
              <w:bottom w:val="single" w:sz="12" w:space="0" w:color="auto"/>
            </w:tcBorders>
            <w:shd w:val="clear" w:color="auto" w:fill="D0CECE"/>
          </w:tcPr>
          <w:p w14:paraId="02F75B0E" w14:textId="77777777" w:rsidR="00C5757D" w:rsidRPr="00EA0AA8" w:rsidRDefault="00C5757D" w:rsidP="007816ED">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666CEA9F" w14:textId="77777777" w:rsidR="00C5757D" w:rsidRPr="00EA0AA8" w:rsidRDefault="00C5757D" w:rsidP="007816ED">
            <w:pPr>
              <w:rPr>
                <w:b/>
              </w:rPr>
            </w:pPr>
            <w:r w:rsidRPr="00EA0AA8">
              <w:rPr>
                <w:b/>
              </w:rPr>
              <w:t>Score</w:t>
            </w:r>
          </w:p>
        </w:tc>
      </w:tr>
      <w:tr w:rsidR="00C5757D" w14:paraId="384774BC" w14:textId="77777777">
        <w:tc>
          <w:tcPr>
            <w:tcW w:w="6912" w:type="dxa"/>
            <w:tcBorders>
              <w:top w:val="single" w:sz="12" w:space="0" w:color="auto"/>
              <w:left w:val="single" w:sz="12" w:space="0" w:color="auto"/>
            </w:tcBorders>
            <w:shd w:val="clear" w:color="auto" w:fill="auto"/>
          </w:tcPr>
          <w:p w14:paraId="551F7BF6" w14:textId="77777777" w:rsidR="00C5757D" w:rsidRDefault="00C5757D" w:rsidP="007816ED">
            <w:r>
              <w:t>Partnerschappen met andere organisaties</w:t>
            </w:r>
          </w:p>
        </w:tc>
        <w:tc>
          <w:tcPr>
            <w:tcW w:w="955" w:type="dxa"/>
            <w:tcBorders>
              <w:top w:val="single" w:sz="12" w:space="0" w:color="auto"/>
              <w:right w:val="single" w:sz="12" w:space="0" w:color="auto"/>
            </w:tcBorders>
            <w:shd w:val="clear" w:color="auto" w:fill="auto"/>
          </w:tcPr>
          <w:p w14:paraId="33E3768B" w14:textId="77777777" w:rsidR="00C5757D" w:rsidRDefault="00C5757D" w:rsidP="007816ED">
            <w:r>
              <w:t>4</w:t>
            </w:r>
          </w:p>
        </w:tc>
      </w:tr>
      <w:tr w:rsidR="00C5757D" w14:paraId="79317968" w14:textId="77777777">
        <w:tc>
          <w:tcPr>
            <w:tcW w:w="6912" w:type="dxa"/>
            <w:tcBorders>
              <w:left w:val="single" w:sz="12" w:space="0" w:color="auto"/>
            </w:tcBorders>
            <w:shd w:val="clear" w:color="auto" w:fill="auto"/>
          </w:tcPr>
          <w:p w14:paraId="285619A7" w14:textId="77777777" w:rsidR="00C5757D" w:rsidRDefault="00C5757D" w:rsidP="007816ED">
            <w:r>
              <w:t>Visie en rol partnerschappen</w:t>
            </w:r>
          </w:p>
        </w:tc>
        <w:tc>
          <w:tcPr>
            <w:tcW w:w="955" w:type="dxa"/>
            <w:tcBorders>
              <w:right w:val="single" w:sz="12" w:space="0" w:color="auto"/>
            </w:tcBorders>
            <w:shd w:val="clear" w:color="auto" w:fill="auto"/>
          </w:tcPr>
          <w:p w14:paraId="0A22EED8" w14:textId="77777777" w:rsidR="00C5757D" w:rsidRDefault="00C5757D" w:rsidP="007816ED">
            <w:r>
              <w:t>4</w:t>
            </w:r>
          </w:p>
        </w:tc>
      </w:tr>
      <w:tr w:rsidR="00C5757D" w14:paraId="4AFB2C11" w14:textId="77777777">
        <w:tc>
          <w:tcPr>
            <w:tcW w:w="6912" w:type="dxa"/>
            <w:tcBorders>
              <w:left w:val="single" w:sz="12" w:space="0" w:color="auto"/>
            </w:tcBorders>
            <w:shd w:val="clear" w:color="auto" w:fill="auto"/>
          </w:tcPr>
          <w:p w14:paraId="7A0B79AC" w14:textId="77777777" w:rsidR="00C5757D" w:rsidRDefault="00C5757D" w:rsidP="007816ED">
            <w:r>
              <w:t>Aansluiting partnerschappen met andere actoren</w:t>
            </w:r>
          </w:p>
        </w:tc>
        <w:tc>
          <w:tcPr>
            <w:tcW w:w="955" w:type="dxa"/>
            <w:tcBorders>
              <w:right w:val="single" w:sz="12" w:space="0" w:color="auto"/>
            </w:tcBorders>
            <w:shd w:val="clear" w:color="auto" w:fill="auto"/>
          </w:tcPr>
          <w:p w14:paraId="2547B518" w14:textId="77777777" w:rsidR="00C5757D" w:rsidRDefault="00C5757D" w:rsidP="007816ED">
            <w:r>
              <w:t>3</w:t>
            </w:r>
          </w:p>
        </w:tc>
      </w:tr>
      <w:tr w:rsidR="00C5757D" w14:paraId="766AA11D" w14:textId="77777777">
        <w:tc>
          <w:tcPr>
            <w:tcW w:w="6912" w:type="dxa"/>
            <w:tcBorders>
              <w:left w:val="single" w:sz="12" w:space="0" w:color="auto"/>
            </w:tcBorders>
            <w:shd w:val="clear" w:color="auto" w:fill="auto"/>
          </w:tcPr>
          <w:p w14:paraId="20D6538E" w14:textId="77777777" w:rsidR="00C5757D" w:rsidRDefault="00C5757D" w:rsidP="007816ED">
            <w:r>
              <w:t>Samenwerking en coördinatie overige actoren</w:t>
            </w:r>
          </w:p>
        </w:tc>
        <w:tc>
          <w:tcPr>
            <w:tcW w:w="955" w:type="dxa"/>
            <w:tcBorders>
              <w:right w:val="single" w:sz="12" w:space="0" w:color="auto"/>
            </w:tcBorders>
            <w:shd w:val="clear" w:color="auto" w:fill="auto"/>
          </w:tcPr>
          <w:p w14:paraId="59503E15" w14:textId="77777777" w:rsidR="00C5757D" w:rsidRDefault="00C5757D" w:rsidP="007816ED">
            <w:r>
              <w:t>3</w:t>
            </w:r>
          </w:p>
        </w:tc>
      </w:tr>
      <w:tr w:rsidR="00C5757D" w:rsidRPr="00EA0AA8" w14:paraId="417211B6" w14:textId="77777777">
        <w:tc>
          <w:tcPr>
            <w:tcW w:w="6912" w:type="dxa"/>
            <w:tcBorders>
              <w:top w:val="single" w:sz="12" w:space="0" w:color="auto"/>
              <w:left w:val="single" w:sz="12" w:space="0" w:color="auto"/>
              <w:bottom w:val="single" w:sz="12" w:space="0" w:color="auto"/>
            </w:tcBorders>
            <w:shd w:val="clear" w:color="auto" w:fill="D0CECE"/>
          </w:tcPr>
          <w:p w14:paraId="73B3CE8B" w14:textId="77777777" w:rsidR="00C5757D" w:rsidRPr="00EA0AA8" w:rsidRDefault="00C5757D" w:rsidP="007816ED">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540791D2" w14:textId="77777777" w:rsidR="00C5757D" w:rsidRPr="00EA0AA8" w:rsidRDefault="00C5757D" w:rsidP="007816ED">
            <w:pPr>
              <w:rPr>
                <w:b/>
              </w:rPr>
            </w:pPr>
            <w:r>
              <w:rPr>
                <w:b/>
              </w:rPr>
              <w:t>4</w:t>
            </w:r>
          </w:p>
        </w:tc>
      </w:tr>
    </w:tbl>
    <w:p w14:paraId="501E4696" w14:textId="77777777" w:rsidR="00C5757D" w:rsidRDefault="00C5757D" w:rsidP="007816ED"/>
    <w:p w14:paraId="3486CFAB" w14:textId="09F5D860" w:rsidR="00C5757D" w:rsidRDefault="00C5757D" w:rsidP="00BC3A3B">
      <w:pPr>
        <w:ind w:firstLine="227"/>
      </w:pPr>
      <w:r w:rsidRPr="00193994">
        <w:t>Ver</w:t>
      </w:r>
      <w:r>
        <w:t>andering sinds 2015: neutraal</w:t>
      </w:r>
      <w:r w:rsidRPr="00193994">
        <w:t xml:space="preserve"> = </w:t>
      </w:r>
      <w:r w:rsidRPr="00193994">
        <w:sym w:font="Wingdings" w:char="F0E8"/>
      </w:r>
    </w:p>
    <w:p w14:paraId="377A96D2" w14:textId="77777777" w:rsidR="00BC3A3B" w:rsidRPr="00F23C7E" w:rsidRDefault="00BC3A3B" w:rsidP="00BC3A3B">
      <w:pPr>
        <w:ind w:firstLine="227"/>
        <w:rPr>
          <w:b/>
        </w:rPr>
      </w:pPr>
    </w:p>
    <w:p w14:paraId="647C8326" w14:textId="68D0BD55" w:rsidR="00C5757D" w:rsidRPr="00F47235" w:rsidRDefault="00C5757D" w:rsidP="002D1811">
      <w:pPr>
        <w:pStyle w:val="Heading2"/>
        <w:tabs>
          <w:tab w:val="left" w:pos="-1162"/>
          <w:tab w:val="left" w:pos="0"/>
          <w:tab w:val="num" w:pos="1160"/>
        </w:tabs>
        <w:spacing w:line="240" w:lineRule="auto"/>
        <w:ind w:hanging="1162"/>
      </w:pPr>
      <w:bookmarkStart w:id="45" w:name="_Toc410140903"/>
      <w:bookmarkStart w:id="46" w:name="_Toc484612351"/>
      <w:bookmarkStart w:id="47" w:name="_Toc491439916"/>
      <w:r>
        <w:t>4</w:t>
      </w:r>
      <w:r w:rsidRPr="004D372F">
        <w:t>.</w:t>
      </w:r>
      <w:r>
        <w:t>4</w:t>
      </w:r>
      <w:r w:rsidRPr="004D372F">
        <w:t xml:space="preserve"> </w:t>
      </w:r>
      <w:r>
        <w:tab/>
        <w:t>Operationeel management</w:t>
      </w:r>
      <w:bookmarkEnd w:id="45"/>
      <w:bookmarkEnd w:id="46"/>
      <w:bookmarkEnd w:id="47"/>
    </w:p>
    <w:p w14:paraId="17C0335B" w14:textId="4BC4CD18" w:rsidR="00C5757D" w:rsidRDefault="00C5757D" w:rsidP="008E0911">
      <w:pPr>
        <w:pStyle w:val="CommentText"/>
        <w:rPr>
          <w:sz w:val="18"/>
          <w:szCs w:val="18"/>
        </w:rPr>
      </w:pPr>
      <w:r w:rsidRPr="00A6752A">
        <w:rPr>
          <w:sz w:val="18"/>
          <w:szCs w:val="18"/>
        </w:rPr>
        <w:t>Het hoofdkantoor van de Bank is gevestigd in Washington DC, waar 59% van de 11.604 werknemers werkzaam zijn die 172 verschillende nationaliteiten hebben (dit is exclusief 4.200 short-term consultants) . De overige staf werkt in de 136 landenkantoren, in regionale kantoren (</w:t>
      </w:r>
      <w:r>
        <w:rPr>
          <w:sz w:val="18"/>
          <w:szCs w:val="18"/>
        </w:rPr>
        <w:t xml:space="preserve">o.a. in </w:t>
      </w:r>
      <w:r w:rsidRPr="00A6752A">
        <w:rPr>
          <w:sz w:val="18"/>
          <w:szCs w:val="18"/>
        </w:rPr>
        <w:t xml:space="preserve">Singapore, Nairobi en Parijs), en in speciale vertegenwoordigingen bij de VN en de Europese Commissie. Het hoofdkantoor is verantwoordelijk voor het formuleren van beleid en de voorbereiding van een groot deel van de programma’s en leningen, en voorziet in de centrale ondersteunende diensten. De landenkantoren hebben een uiteenlopende autonomie, afhankelijk van de omvang van het landenprogramma en de personele bezetting. </w:t>
      </w:r>
    </w:p>
    <w:p w14:paraId="437EE8C6" w14:textId="77777777" w:rsidR="00C5757D" w:rsidRDefault="00C5757D" w:rsidP="008E0911">
      <w:pPr>
        <w:pStyle w:val="CommentText"/>
        <w:rPr>
          <w:sz w:val="18"/>
          <w:szCs w:val="18"/>
        </w:rPr>
      </w:pPr>
    </w:p>
    <w:p w14:paraId="2DF0A4FF" w14:textId="77777777" w:rsidR="00C5757D" w:rsidRDefault="00C5757D" w:rsidP="00DA0C96">
      <w:pPr>
        <w:rPr>
          <w:rFonts w:ascii="Calibri" w:hAnsi="Calibri"/>
          <w:sz w:val="22"/>
          <w:szCs w:val="22"/>
        </w:rPr>
      </w:pPr>
      <w:r w:rsidRPr="00A6752A">
        <w:rPr>
          <w:szCs w:val="18"/>
        </w:rPr>
        <w:t>De Bank werkt meer en meer samen met de andere onderdelen van de WBG</w:t>
      </w:r>
      <w:r>
        <w:rPr>
          <w:szCs w:val="18"/>
        </w:rPr>
        <w:t>, zoals de IFC en MIGA,</w:t>
      </w:r>
      <w:r w:rsidRPr="00A6752A">
        <w:rPr>
          <w:szCs w:val="18"/>
        </w:rPr>
        <w:t xml:space="preserve"> en streeft daarbij naar een </w:t>
      </w:r>
      <w:proofErr w:type="spellStart"/>
      <w:r w:rsidRPr="00DA0C96">
        <w:rPr>
          <w:i/>
          <w:szCs w:val="18"/>
        </w:rPr>
        <w:t>One</w:t>
      </w:r>
      <w:proofErr w:type="spellEnd"/>
      <w:r w:rsidRPr="00DA0C96">
        <w:rPr>
          <w:i/>
          <w:szCs w:val="18"/>
        </w:rPr>
        <w:t xml:space="preserve"> World Bank Group</w:t>
      </w:r>
      <w:r w:rsidRPr="00A6752A">
        <w:rPr>
          <w:szCs w:val="18"/>
        </w:rPr>
        <w:t xml:space="preserve"> benadering</w:t>
      </w:r>
      <w:r>
        <w:rPr>
          <w:szCs w:val="18"/>
        </w:rPr>
        <w:t xml:space="preserve">. Verder </w:t>
      </w:r>
      <w:r w:rsidRPr="00C517C2">
        <w:rPr>
          <w:rFonts w:ascii="Calibri" w:hAnsi="Calibri"/>
          <w:sz w:val="22"/>
          <w:szCs w:val="22"/>
        </w:rPr>
        <w:t xml:space="preserve">bouwt </w:t>
      </w:r>
      <w:r>
        <w:rPr>
          <w:rFonts w:ascii="Calibri" w:hAnsi="Calibri"/>
          <w:sz w:val="22"/>
          <w:szCs w:val="22"/>
        </w:rPr>
        <w:t xml:space="preserve">de WBG voort </w:t>
      </w:r>
      <w:r w:rsidRPr="00C517C2">
        <w:rPr>
          <w:rFonts w:ascii="Calibri" w:hAnsi="Calibri"/>
          <w:sz w:val="22"/>
          <w:szCs w:val="22"/>
        </w:rPr>
        <w:t xml:space="preserve">op de </w:t>
      </w:r>
      <w:proofErr w:type="spellStart"/>
      <w:r w:rsidRPr="00C517C2">
        <w:rPr>
          <w:rFonts w:ascii="Calibri" w:hAnsi="Calibri"/>
          <w:i/>
          <w:iCs/>
          <w:sz w:val="22"/>
          <w:szCs w:val="22"/>
        </w:rPr>
        <w:t>Financing</w:t>
      </w:r>
      <w:proofErr w:type="spellEnd"/>
      <w:r w:rsidRPr="00C517C2">
        <w:rPr>
          <w:rFonts w:ascii="Calibri" w:hAnsi="Calibri"/>
          <w:i/>
          <w:iCs/>
          <w:sz w:val="22"/>
          <w:szCs w:val="22"/>
        </w:rPr>
        <w:t xml:space="preserve"> </w:t>
      </w:r>
      <w:proofErr w:type="spellStart"/>
      <w:r w:rsidRPr="00C517C2">
        <w:rPr>
          <w:rFonts w:ascii="Calibri" w:hAnsi="Calibri"/>
          <w:i/>
          <w:iCs/>
          <w:sz w:val="22"/>
          <w:szCs w:val="22"/>
        </w:rPr>
        <w:t>for</w:t>
      </w:r>
      <w:proofErr w:type="spellEnd"/>
      <w:r w:rsidRPr="00C517C2">
        <w:rPr>
          <w:rFonts w:ascii="Calibri" w:hAnsi="Calibri"/>
          <w:i/>
          <w:iCs/>
          <w:sz w:val="22"/>
          <w:szCs w:val="22"/>
        </w:rPr>
        <w:t xml:space="preserve"> Development</w:t>
      </w:r>
      <w:r w:rsidRPr="00C517C2">
        <w:rPr>
          <w:rFonts w:ascii="Calibri" w:hAnsi="Calibri"/>
          <w:sz w:val="22"/>
          <w:szCs w:val="22"/>
        </w:rPr>
        <w:t>-agenda</w:t>
      </w:r>
      <w:r>
        <w:rPr>
          <w:rFonts w:ascii="Calibri" w:hAnsi="Calibri"/>
          <w:sz w:val="22"/>
          <w:szCs w:val="22"/>
        </w:rPr>
        <w:t xml:space="preserve"> door te werken aan een</w:t>
      </w:r>
      <w:r w:rsidRPr="00C517C2">
        <w:rPr>
          <w:rFonts w:ascii="Calibri" w:hAnsi="Calibri"/>
          <w:sz w:val="22"/>
          <w:szCs w:val="22"/>
        </w:rPr>
        <w:t xml:space="preserve"> verdere modernisering van ontwikkelingsfinanciering</w:t>
      </w:r>
      <w:r>
        <w:rPr>
          <w:rFonts w:ascii="Calibri" w:hAnsi="Calibri"/>
          <w:sz w:val="22"/>
          <w:szCs w:val="22"/>
        </w:rPr>
        <w:t xml:space="preserve">: </w:t>
      </w:r>
      <w:r w:rsidRPr="00C517C2">
        <w:rPr>
          <w:rFonts w:ascii="Calibri" w:hAnsi="Calibri"/>
          <w:sz w:val="22"/>
          <w:szCs w:val="22"/>
        </w:rPr>
        <w:t>private financiering</w:t>
      </w:r>
      <w:r>
        <w:rPr>
          <w:rFonts w:ascii="Calibri" w:hAnsi="Calibri"/>
          <w:sz w:val="22"/>
          <w:szCs w:val="22"/>
        </w:rPr>
        <w:t xml:space="preserve"> </w:t>
      </w:r>
      <w:r w:rsidRPr="00C517C2">
        <w:rPr>
          <w:rFonts w:ascii="Calibri" w:hAnsi="Calibri"/>
          <w:sz w:val="22"/>
          <w:szCs w:val="22"/>
        </w:rPr>
        <w:t xml:space="preserve">waar mogelijk (ook door via beleidshervormingen markten te creëren en landen te </w:t>
      </w:r>
      <w:proofErr w:type="spellStart"/>
      <w:r w:rsidRPr="00C517C2">
        <w:rPr>
          <w:rFonts w:ascii="Calibri" w:hAnsi="Calibri"/>
          <w:i/>
          <w:iCs/>
          <w:sz w:val="22"/>
          <w:szCs w:val="22"/>
        </w:rPr>
        <w:t>derisken</w:t>
      </w:r>
      <w:proofErr w:type="spellEnd"/>
      <w:r w:rsidRPr="00C517C2">
        <w:rPr>
          <w:rFonts w:ascii="Calibri" w:hAnsi="Calibri"/>
          <w:sz w:val="22"/>
          <w:szCs w:val="22"/>
        </w:rPr>
        <w:t xml:space="preserve">) en </w:t>
      </w:r>
      <w:r>
        <w:rPr>
          <w:rFonts w:ascii="Calibri" w:hAnsi="Calibri"/>
          <w:sz w:val="22"/>
          <w:szCs w:val="22"/>
        </w:rPr>
        <w:t xml:space="preserve">inzetten van </w:t>
      </w:r>
      <w:r w:rsidRPr="00C517C2">
        <w:rPr>
          <w:rFonts w:ascii="Calibri" w:hAnsi="Calibri"/>
          <w:sz w:val="22"/>
          <w:szCs w:val="22"/>
        </w:rPr>
        <w:t xml:space="preserve">schaarse publieke middelen waar </w:t>
      </w:r>
      <w:r>
        <w:rPr>
          <w:rFonts w:ascii="Calibri" w:hAnsi="Calibri"/>
          <w:sz w:val="22"/>
          <w:szCs w:val="22"/>
        </w:rPr>
        <w:t xml:space="preserve">deze </w:t>
      </w:r>
      <w:r w:rsidRPr="00C517C2">
        <w:rPr>
          <w:rFonts w:ascii="Calibri" w:hAnsi="Calibri"/>
          <w:sz w:val="22"/>
          <w:szCs w:val="22"/>
        </w:rPr>
        <w:t>het hardste nodig</w:t>
      </w:r>
      <w:r>
        <w:rPr>
          <w:rFonts w:ascii="Calibri" w:hAnsi="Calibri"/>
          <w:sz w:val="22"/>
          <w:szCs w:val="22"/>
        </w:rPr>
        <w:t xml:space="preserve"> zijn en waar weinig alternatieven voorhanden zijn (door de Bank </w:t>
      </w:r>
      <w:r w:rsidRPr="00DA0C96">
        <w:rPr>
          <w:rFonts w:ascii="Calibri" w:hAnsi="Calibri"/>
          <w:i/>
          <w:sz w:val="22"/>
          <w:szCs w:val="22"/>
        </w:rPr>
        <w:t>Cascade</w:t>
      </w:r>
      <w:r>
        <w:rPr>
          <w:rFonts w:ascii="Calibri" w:hAnsi="Calibri"/>
          <w:sz w:val="22"/>
          <w:szCs w:val="22"/>
        </w:rPr>
        <w:t xml:space="preserve"> genoemd)</w:t>
      </w:r>
      <w:r w:rsidRPr="00C517C2">
        <w:rPr>
          <w:rFonts w:ascii="Calibri" w:hAnsi="Calibri"/>
          <w:sz w:val="22"/>
          <w:szCs w:val="22"/>
        </w:rPr>
        <w:t>.</w:t>
      </w:r>
    </w:p>
    <w:p w14:paraId="5CA3D3FD" w14:textId="77777777" w:rsidR="00C5757D" w:rsidRDefault="00C5757D" w:rsidP="00BB2679">
      <w:pPr>
        <w:rPr>
          <w:szCs w:val="18"/>
        </w:rPr>
      </w:pPr>
    </w:p>
    <w:p w14:paraId="75EA5BC3" w14:textId="4B8C3396" w:rsidR="00C5757D" w:rsidRDefault="00C5757D" w:rsidP="00BB2679">
      <w:r w:rsidRPr="004729BE">
        <w:rPr>
          <w:szCs w:val="18"/>
        </w:rPr>
        <w:t>De Bank kent 14 themadirecties (</w:t>
      </w:r>
      <w:r w:rsidRPr="004729BE">
        <w:rPr>
          <w:i/>
          <w:szCs w:val="18"/>
        </w:rPr>
        <w:t xml:space="preserve">Global </w:t>
      </w:r>
      <w:proofErr w:type="spellStart"/>
      <w:r w:rsidRPr="004729BE">
        <w:rPr>
          <w:i/>
          <w:szCs w:val="18"/>
        </w:rPr>
        <w:t>Practices</w:t>
      </w:r>
      <w:proofErr w:type="spellEnd"/>
      <w:r w:rsidRPr="004729BE">
        <w:rPr>
          <w:szCs w:val="18"/>
        </w:rPr>
        <w:t xml:space="preserve">) die onderverdeeld zijn in drie clusters: (1) </w:t>
      </w:r>
      <w:r w:rsidRPr="004729BE">
        <w:rPr>
          <w:i/>
          <w:szCs w:val="18"/>
        </w:rPr>
        <w:t>Human Development</w:t>
      </w:r>
      <w:r w:rsidRPr="004729BE">
        <w:rPr>
          <w:szCs w:val="18"/>
        </w:rPr>
        <w:t xml:space="preserve">, (2) </w:t>
      </w:r>
      <w:proofErr w:type="spellStart"/>
      <w:r w:rsidRPr="004729BE">
        <w:rPr>
          <w:i/>
          <w:szCs w:val="18"/>
        </w:rPr>
        <w:t>Sustainable</w:t>
      </w:r>
      <w:proofErr w:type="spellEnd"/>
      <w:r w:rsidRPr="004729BE">
        <w:rPr>
          <w:i/>
          <w:szCs w:val="18"/>
        </w:rPr>
        <w:t xml:space="preserve"> Development</w:t>
      </w:r>
      <w:r w:rsidRPr="004729BE">
        <w:rPr>
          <w:szCs w:val="18"/>
        </w:rPr>
        <w:t xml:space="preserve"> en (3) </w:t>
      </w:r>
      <w:proofErr w:type="spellStart"/>
      <w:r w:rsidRPr="004729BE">
        <w:rPr>
          <w:i/>
          <w:szCs w:val="18"/>
        </w:rPr>
        <w:t>Equitable</w:t>
      </w:r>
      <w:proofErr w:type="spellEnd"/>
      <w:r w:rsidRPr="004729BE">
        <w:rPr>
          <w:i/>
          <w:szCs w:val="18"/>
        </w:rPr>
        <w:t xml:space="preserve"> </w:t>
      </w:r>
      <w:proofErr w:type="spellStart"/>
      <w:r w:rsidRPr="004729BE">
        <w:rPr>
          <w:i/>
          <w:szCs w:val="18"/>
        </w:rPr>
        <w:t>Growth</w:t>
      </w:r>
      <w:proofErr w:type="spellEnd"/>
      <w:r w:rsidRPr="004729BE">
        <w:rPr>
          <w:i/>
          <w:szCs w:val="18"/>
        </w:rPr>
        <w:t xml:space="preserve">, Finance </w:t>
      </w:r>
      <w:proofErr w:type="spellStart"/>
      <w:r w:rsidRPr="004729BE">
        <w:rPr>
          <w:i/>
          <w:szCs w:val="18"/>
        </w:rPr>
        <w:t>and</w:t>
      </w:r>
      <w:proofErr w:type="spellEnd"/>
      <w:r w:rsidRPr="004729BE">
        <w:rPr>
          <w:i/>
          <w:szCs w:val="18"/>
        </w:rPr>
        <w:t xml:space="preserve"> </w:t>
      </w:r>
      <w:proofErr w:type="spellStart"/>
      <w:r w:rsidRPr="004729BE">
        <w:rPr>
          <w:i/>
          <w:szCs w:val="18"/>
        </w:rPr>
        <w:t>Institutions</w:t>
      </w:r>
      <w:proofErr w:type="spellEnd"/>
      <w:r w:rsidRPr="004729BE">
        <w:rPr>
          <w:i/>
          <w:szCs w:val="18"/>
        </w:rPr>
        <w:t xml:space="preserve">. </w:t>
      </w:r>
      <w:r w:rsidRPr="008E0911">
        <w:rPr>
          <w:szCs w:val="18"/>
        </w:rPr>
        <w:t xml:space="preserve">Dit stimuleert kruisbestuiving tussen de verschillende </w:t>
      </w:r>
      <w:r>
        <w:rPr>
          <w:szCs w:val="18"/>
        </w:rPr>
        <w:t xml:space="preserve">beleidsterreinen. </w:t>
      </w:r>
      <w:r w:rsidRPr="008A17FC">
        <w:rPr>
          <w:szCs w:val="18"/>
        </w:rPr>
        <w:t xml:space="preserve">Het beperken van het aantal doorsnijdende thema’s tot vijf – </w:t>
      </w:r>
      <w:r w:rsidRPr="008A17FC">
        <w:rPr>
          <w:i/>
          <w:szCs w:val="18"/>
        </w:rPr>
        <w:t>Gender</w:t>
      </w:r>
      <w:r w:rsidRPr="008A17FC">
        <w:rPr>
          <w:szCs w:val="18"/>
        </w:rPr>
        <w:t xml:space="preserve">, Klimaat, Werkgelegenheid, </w:t>
      </w:r>
      <w:proofErr w:type="spellStart"/>
      <w:r w:rsidRPr="008A17FC">
        <w:rPr>
          <w:i/>
          <w:szCs w:val="18"/>
        </w:rPr>
        <w:t>Fragility</w:t>
      </w:r>
      <w:proofErr w:type="spellEnd"/>
      <w:r w:rsidRPr="008A17FC">
        <w:rPr>
          <w:i/>
          <w:szCs w:val="18"/>
        </w:rPr>
        <w:t xml:space="preserve"> Conflict </w:t>
      </w:r>
      <w:proofErr w:type="spellStart"/>
      <w:r w:rsidRPr="008A17FC">
        <w:rPr>
          <w:i/>
          <w:szCs w:val="18"/>
        </w:rPr>
        <w:t>and</w:t>
      </w:r>
      <w:proofErr w:type="spellEnd"/>
      <w:r w:rsidRPr="008A17FC">
        <w:rPr>
          <w:i/>
          <w:szCs w:val="18"/>
        </w:rPr>
        <w:t xml:space="preserve"> </w:t>
      </w:r>
      <w:proofErr w:type="spellStart"/>
      <w:r w:rsidRPr="008A17FC">
        <w:rPr>
          <w:i/>
          <w:szCs w:val="18"/>
        </w:rPr>
        <w:t>Violence</w:t>
      </w:r>
      <w:proofErr w:type="spellEnd"/>
      <w:r w:rsidRPr="008A17FC">
        <w:rPr>
          <w:szCs w:val="18"/>
        </w:rPr>
        <w:t xml:space="preserve"> en PPP - draagt bij tot een meer gerichte </w:t>
      </w:r>
      <w:proofErr w:type="spellStart"/>
      <w:r w:rsidRPr="008A17FC">
        <w:rPr>
          <w:i/>
          <w:szCs w:val="18"/>
        </w:rPr>
        <w:t>mainstreaming</w:t>
      </w:r>
      <w:proofErr w:type="spellEnd"/>
      <w:r w:rsidRPr="008A17FC">
        <w:rPr>
          <w:szCs w:val="18"/>
        </w:rPr>
        <w:t xml:space="preserve"> in de leningenportefeuille</w:t>
      </w:r>
      <w:r>
        <w:rPr>
          <w:szCs w:val="18"/>
        </w:rPr>
        <w:t xml:space="preserve"> en het ontwikkelen van partnerschappen. </w:t>
      </w:r>
      <w:r w:rsidRPr="00A6752A">
        <w:t xml:space="preserve">Het landenbeleid van de </w:t>
      </w:r>
      <w:r>
        <w:t>Bank</w:t>
      </w:r>
      <w:r w:rsidRPr="00A6752A">
        <w:t xml:space="preserve"> wordt vormgegeven in samenwerking met de andere onderdelen van de WBG. Door het gezamenlijk opstellen van </w:t>
      </w:r>
      <w:r w:rsidRPr="00E671F4">
        <w:rPr>
          <w:i/>
        </w:rPr>
        <w:t xml:space="preserve">Strategic Country </w:t>
      </w:r>
      <w:proofErr w:type="spellStart"/>
      <w:r w:rsidRPr="00E671F4">
        <w:rPr>
          <w:i/>
        </w:rPr>
        <w:t>Diagnostics</w:t>
      </w:r>
      <w:proofErr w:type="spellEnd"/>
      <w:r w:rsidRPr="00A6752A">
        <w:t xml:space="preserve"> (</w:t>
      </w:r>
      <w:proofErr w:type="spellStart"/>
      <w:r w:rsidRPr="00A6752A">
        <w:t>SCDs</w:t>
      </w:r>
      <w:proofErr w:type="spellEnd"/>
      <w:r w:rsidRPr="00A6752A">
        <w:t xml:space="preserve">) en </w:t>
      </w:r>
      <w:r w:rsidRPr="00E671F4">
        <w:rPr>
          <w:i/>
        </w:rPr>
        <w:t xml:space="preserve">Country Partnerships </w:t>
      </w:r>
      <w:proofErr w:type="spellStart"/>
      <w:r w:rsidRPr="00E671F4">
        <w:rPr>
          <w:i/>
        </w:rPr>
        <w:t>Frameworks</w:t>
      </w:r>
      <w:proofErr w:type="spellEnd"/>
      <w:r w:rsidRPr="00A6752A">
        <w:t xml:space="preserve"> (</w:t>
      </w:r>
      <w:proofErr w:type="spellStart"/>
      <w:r w:rsidRPr="00A6752A">
        <w:t>CPFs</w:t>
      </w:r>
      <w:proofErr w:type="spellEnd"/>
      <w:r w:rsidRPr="00A6752A">
        <w:t>) streeft de WBG naar een consistent opera</w:t>
      </w:r>
      <w:r>
        <w:t>tioneel beleid op landenniveau.</w:t>
      </w:r>
    </w:p>
    <w:p w14:paraId="58F23216" w14:textId="77777777" w:rsidR="00C5757D" w:rsidRDefault="00C5757D" w:rsidP="00BB2679">
      <w:pPr>
        <w:rPr>
          <w:rFonts w:ascii="Calibri" w:hAnsi="Calibri"/>
          <w:sz w:val="22"/>
          <w:szCs w:val="22"/>
        </w:rPr>
      </w:pPr>
    </w:p>
    <w:p w14:paraId="41598A0F" w14:textId="392D4A0E" w:rsidR="00C5757D" w:rsidRDefault="00C5757D" w:rsidP="00BB2679">
      <w:pPr>
        <w:rPr>
          <w:rFonts w:ascii="Calibri" w:hAnsi="Calibri"/>
          <w:sz w:val="22"/>
          <w:szCs w:val="22"/>
        </w:rPr>
      </w:pPr>
      <w:r>
        <w:t>Een nieuwe wijze van budgetteren - het “W”-</w:t>
      </w:r>
      <w:r w:rsidRPr="0052368A">
        <w:t xml:space="preserve">proces </w:t>
      </w:r>
      <w:r>
        <w:t>–</w:t>
      </w:r>
      <w:r w:rsidRPr="0052368A">
        <w:t xml:space="preserve"> </w:t>
      </w:r>
      <w:r>
        <w:t xml:space="preserve">heeft </w:t>
      </w:r>
      <w:r w:rsidRPr="0052368A">
        <w:t>tot doel om ervoor te zorgen dat zo goed mogelijk gebruik wordt gemaakt van de beperkte middelen</w:t>
      </w:r>
      <w:r>
        <w:t>.</w:t>
      </w:r>
      <w:r w:rsidRPr="0052368A">
        <w:t xml:space="preserve"> De</w:t>
      </w:r>
      <w:r>
        <w:t>ze</w:t>
      </w:r>
      <w:r w:rsidRPr="0052368A">
        <w:t xml:space="preserve"> middelen worden toegewezen door middel van duidelijke, transparante en voorspelbare systemen. De </w:t>
      </w:r>
      <w:r>
        <w:t>B</w:t>
      </w:r>
      <w:r w:rsidRPr="0052368A">
        <w:t xml:space="preserve">ank heeft zeer sterke interne controle en </w:t>
      </w:r>
      <w:r w:rsidRPr="0052368A">
        <w:lastRenderedPageBreak/>
        <w:t>verantwoording</w:t>
      </w:r>
      <w:r>
        <w:t xml:space="preserve">systemen, inclusief een grondig risicobeheer. De Bank heeft de afgelopen jaren verschillende maatregelen genomen om het project- en financieel beheer te vereenvoudigen, de doorlooptijd van goedkeuring van leningen te verkorten en daarmee de ratio van </w:t>
      </w:r>
      <w:proofErr w:type="spellStart"/>
      <w:r w:rsidRPr="00DA0C96">
        <w:rPr>
          <w:i/>
        </w:rPr>
        <w:t>disbursement</w:t>
      </w:r>
      <w:proofErr w:type="spellEnd"/>
      <w:r w:rsidRPr="00DA0C96">
        <w:rPr>
          <w:i/>
        </w:rPr>
        <w:t xml:space="preserve"> </w:t>
      </w:r>
      <w:r>
        <w:t>te verhogen.</w:t>
      </w:r>
    </w:p>
    <w:p w14:paraId="4108AA59" w14:textId="77777777" w:rsidR="00C5757D" w:rsidRDefault="00C5757D" w:rsidP="007816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C5757D" w:rsidRPr="00EA0AA8" w14:paraId="3A13DE3E" w14:textId="77777777">
        <w:tc>
          <w:tcPr>
            <w:tcW w:w="6912" w:type="dxa"/>
            <w:tcBorders>
              <w:top w:val="single" w:sz="12" w:space="0" w:color="auto"/>
              <w:left w:val="single" w:sz="12" w:space="0" w:color="auto"/>
              <w:bottom w:val="single" w:sz="12" w:space="0" w:color="auto"/>
            </w:tcBorders>
            <w:shd w:val="clear" w:color="auto" w:fill="D0CECE"/>
          </w:tcPr>
          <w:p w14:paraId="047C020F" w14:textId="77777777" w:rsidR="00C5757D" w:rsidRPr="00EA0AA8" w:rsidRDefault="00C5757D" w:rsidP="007816ED">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2467B83E" w14:textId="77777777" w:rsidR="00C5757D" w:rsidRPr="00EA0AA8" w:rsidRDefault="00C5757D" w:rsidP="007816ED">
            <w:pPr>
              <w:rPr>
                <w:b/>
              </w:rPr>
            </w:pPr>
            <w:r w:rsidRPr="00EA0AA8">
              <w:rPr>
                <w:b/>
              </w:rPr>
              <w:t>Score</w:t>
            </w:r>
          </w:p>
        </w:tc>
      </w:tr>
      <w:tr w:rsidR="00C5757D" w14:paraId="448ADFE8" w14:textId="77777777">
        <w:tc>
          <w:tcPr>
            <w:tcW w:w="6912" w:type="dxa"/>
            <w:tcBorders>
              <w:top w:val="single" w:sz="12" w:space="0" w:color="auto"/>
              <w:left w:val="single" w:sz="12" w:space="0" w:color="auto"/>
            </w:tcBorders>
            <w:shd w:val="clear" w:color="auto" w:fill="auto"/>
          </w:tcPr>
          <w:p w14:paraId="2741C173" w14:textId="77777777" w:rsidR="00C5757D" w:rsidRDefault="00C5757D" w:rsidP="007816ED">
            <w:r>
              <w:t>Delegatie van bevoegdheden</w:t>
            </w:r>
          </w:p>
        </w:tc>
        <w:tc>
          <w:tcPr>
            <w:tcW w:w="955" w:type="dxa"/>
            <w:tcBorders>
              <w:top w:val="single" w:sz="12" w:space="0" w:color="auto"/>
              <w:right w:val="single" w:sz="12" w:space="0" w:color="auto"/>
            </w:tcBorders>
            <w:shd w:val="clear" w:color="auto" w:fill="auto"/>
          </w:tcPr>
          <w:p w14:paraId="20A712D9" w14:textId="77777777" w:rsidR="00C5757D" w:rsidRDefault="00C5757D" w:rsidP="007816ED">
            <w:r>
              <w:t>3</w:t>
            </w:r>
          </w:p>
        </w:tc>
      </w:tr>
      <w:tr w:rsidR="00C5757D" w14:paraId="068D7F3D" w14:textId="77777777">
        <w:tc>
          <w:tcPr>
            <w:tcW w:w="6912" w:type="dxa"/>
            <w:tcBorders>
              <w:left w:val="single" w:sz="12" w:space="0" w:color="auto"/>
            </w:tcBorders>
            <w:shd w:val="clear" w:color="auto" w:fill="auto"/>
          </w:tcPr>
          <w:p w14:paraId="1EBC8F4A" w14:textId="77777777" w:rsidR="00C5757D" w:rsidRDefault="00C5757D" w:rsidP="007816ED">
            <w:r>
              <w:t>Projectbeheer en financieel beheer</w:t>
            </w:r>
          </w:p>
        </w:tc>
        <w:tc>
          <w:tcPr>
            <w:tcW w:w="955" w:type="dxa"/>
            <w:tcBorders>
              <w:right w:val="single" w:sz="12" w:space="0" w:color="auto"/>
            </w:tcBorders>
            <w:shd w:val="clear" w:color="auto" w:fill="auto"/>
          </w:tcPr>
          <w:p w14:paraId="42D1D2B7" w14:textId="77777777" w:rsidR="00C5757D" w:rsidRDefault="00C5757D" w:rsidP="007816ED">
            <w:r>
              <w:t>4</w:t>
            </w:r>
          </w:p>
        </w:tc>
      </w:tr>
      <w:tr w:rsidR="00C5757D" w14:paraId="6B4FAF0B" w14:textId="77777777">
        <w:tc>
          <w:tcPr>
            <w:tcW w:w="6912" w:type="dxa"/>
            <w:tcBorders>
              <w:left w:val="single" w:sz="12" w:space="0" w:color="auto"/>
            </w:tcBorders>
            <w:shd w:val="clear" w:color="auto" w:fill="auto"/>
          </w:tcPr>
          <w:p w14:paraId="7D5708F2" w14:textId="77777777" w:rsidR="00C5757D" w:rsidRDefault="00C5757D" w:rsidP="007816ED">
            <w:r>
              <w:t>Verantwoordelijkheden en bevoegdheden decentrale kantoren</w:t>
            </w:r>
          </w:p>
        </w:tc>
        <w:tc>
          <w:tcPr>
            <w:tcW w:w="955" w:type="dxa"/>
            <w:tcBorders>
              <w:right w:val="single" w:sz="12" w:space="0" w:color="auto"/>
            </w:tcBorders>
            <w:shd w:val="clear" w:color="auto" w:fill="auto"/>
          </w:tcPr>
          <w:p w14:paraId="0EFF1830" w14:textId="77777777" w:rsidR="00C5757D" w:rsidRDefault="00C5757D" w:rsidP="007816ED">
            <w:r>
              <w:t>3</w:t>
            </w:r>
          </w:p>
        </w:tc>
      </w:tr>
      <w:tr w:rsidR="00C5757D" w14:paraId="0C53ED51" w14:textId="77777777">
        <w:tc>
          <w:tcPr>
            <w:tcW w:w="6912" w:type="dxa"/>
            <w:tcBorders>
              <w:left w:val="single" w:sz="12" w:space="0" w:color="auto"/>
              <w:bottom w:val="single" w:sz="12" w:space="0" w:color="auto"/>
            </w:tcBorders>
            <w:shd w:val="clear" w:color="auto" w:fill="auto"/>
          </w:tcPr>
          <w:p w14:paraId="6AFB2F61" w14:textId="77777777" w:rsidR="00C5757D" w:rsidRDefault="00C5757D" w:rsidP="007816ED">
            <w:r>
              <w:t>Gebruik van lokale partners en systemen</w:t>
            </w:r>
          </w:p>
        </w:tc>
        <w:tc>
          <w:tcPr>
            <w:tcW w:w="955" w:type="dxa"/>
            <w:tcBorders>
              <w:bottom w:val="single" w:sz="12" w:space="0" w:color="auto"/>
              <w:right w:val="single" w:sz="12" w:space="0" w:color="auto"/>
            </w:tcBorders>
            <w:shd w:val="clear" w:color="auto" w:fill="auto"/>
          </w:tcPr>
          <w:p w14:paraId="41559C24" w14:textId="77777777" w:rsidR="00C5757D" w:rsidRDefault="00C5757D" w:rsidP="007816ED">
            <w:r>
              <w:t>3</w:t>
            </w:r>
          </w:p>
        </w:tc>
      </w:tr>
      <w:tr w:rsidR="00C5757D" w:rsidRPr="00EA0AA8" w14:paraId="309370AE" w14:textId="77777777">
        <w:tc>
          <w:tcPr>
            <w:tcW w:w="6912" w:type="dxa"/>
            <w:tcBorders>
              <w:top w:val="single" w:sz="12" w:space="0" w:color="auto"/>
              <w:left w:val="single" w:sz="12" w:space="0" w:color="auto"/>
              <w:bottom w:val="single" w:sz="12" w:space="0" w:color="auto"/>
            </w:tcBorders>
            <w:shd w:val="clear" w:color="auto" w:fill="D0CECE"/>
          </w:tcPr>
          <w:p w14:paraId="0AC406E8" w14:textId="77777777" w:rsidR="00C5757D" w:rsidRPr="00EA0AA8" w:rsidRDefault="00C5757D" w:rsidP="007816ED">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1D49BAE4" w14:textId="77777777" w:rsidR="00C5757D" w:rsidRPr="00EA0AA8" w:rsidRDefault="00C5757D" w:rsidP="007816ED">
            <w:pPr>
              <w:rPr>
                <w:b/>
              </w:rPr>
            </w:pPr>
            <w:r>
              <w:rPr>
                <w:b/>
              </w:rPr>
              <w:t>3</w:t>
            </w:r>
          </w:p>
        </w:tc>
      </w:tr>
    </w:tbl>
    <w:p w14:paraId="2356915D" w14:textId="77777777" w:rsidR="00C5757D" w:rsidRDefault="00C5757D" w:rsidP="007816ED"/>
    <w:p w14:paraId="4B136192" w14:textId="027DB491" w:rsidR="00C5757D" w:rsidRDefault="00C5757D" w:rsidP="00BC3A3B">
      <w:pPr>
        <w:ind w:firstLine="227"/>
      </w:pPr>
      <w:r w:rsidRPr="00193994">
        <w:t>Ver</w:t>
      </w:r>
      <w:r>
        <w:t>andering sinds 2015: positief</w:t>
      </w:r>
      <w:r w:rsidRPr="00193994">
        <w:t xml:space="preserve"> =  </w:t>
      </w:r>
      <w:r w:rsidRPr="00193994">
        <w:sym w:font="Wingdings" w:char="F0E9"/>
      </w:r>
    </w:p>
    <w:p w14:paraId="2B84D467" w14:textId="77777777" w:rsidR="00BC3A3B" w:rsidRPr="005A0BEE" w:rsidRDefault="00BC3A3B" w:rsidP="00BC3A3B">
      <w:pPr>
        <w:ind w:firstLine="227"/>
        <w:rPr>
          <w:b/>
        </w:rPr>
      </w:pPr>
    </w:p>
    <w:p w14:paraId="3CC69539" w14:textId="5BC48A87" w:rsidR="00C5757D" w:rsidRPr="002D1811" w:rsidRDefault="00C5757D" w:rsidP="002D1811">
      <w:pPr>
        <w:pStyle w:val="Heading2"/>
        <w:tabs>
          <w:tab w:val="left" w:pos="-1162"/>
          <w:tab w:val="left" w:pos="0"/>
          <w:tab w:val="num" w:pos="1160"/>
        </w:tabs>
        <w:spacing w:line="240" w:lineRule="auto"/>
        <w:ind w:hanging="1162"/>
        <w:rPr>
          <w:b w:val="0"/>
        </w:rPr>
      </w:pPr>
      <w:bookmarkStart w:id="48" w:name="_Toc484612352"/>
      <w:bookmarkStart w:id="49" w:name="_Toc491439917"/>
      <w:r>
        <w:t>4.5</w:t>
      </w:r>
      <w:r>
        <w:tab/>
      </w:r>
      <w:r w:rsidRPr="004D372F">
        <w:t>Beleidsevaluatie</w:t>
      </w:r>
      <w:bookmarkEnd w:id="48"/>
      <w:bookmarkEnd w:id="49"/>
    </w:p>
    <w:p w14:paraId="295783C0" w14:textId="032B7EDB" w:rsidR="00C5757D" w:rsidRDefault="00E671F4" w:rsidP="00212839">
      <w:pPr>
        <w:spacing w:beforeLines="1" w:before="2" w:afterLines="1" w:after="2" w:line="240" w:lineRule="auto"/>
        <w:rPr>
          <w:szCs w:val="18"/>
        </w:rPr>
      </w:pPr>
      <w:r>
        <w:rPr>
          <w:szCs w:val="18"/>
        </w:rPr>
        <w:t>IEG-evaluaties</w:t>
      </w:r>
      <w:r w:rsidR="00C5757D">
        <w:rPr>
          <w:szCs w:val="18"/>
        </w:rPr>
        <w:t xml:space="preserve"> zijn online integraal toegankelijk</w:t>
      </w:r>
      <w:r w:rsidR="009C0B84">
        <w:rPr>
          <w:szCs w:val="18"/>
        </w:rPr>
        <w:t>. J</w:t>
      </w:r>
      <w:r w:rsidR="00C5757D">
        <w:rPr>
          <w:szCs w:val="18"/>
        </w:rPr>
        <w:t xml:space="preserve">aarlijks wordt een jaarverslag uitgebracht waarin onder andere de belangrijkste evaluaties van de IEG worden beschreven. </w:t>
      </w:r>
      <w:r w:rsidR="00C5757D" w:rsidRPr="00256B28">
        <w:rPr>
          <w:szCs w:val="18"/>
        </w:rPr>
        <w:t xml:space="preserve">De IEG voert </w:t>
      </w:r>
      <w:r w:rsidR="00C5757D">
        <w:rPr>
          <w:szCs w:val="18"/>
        </w:rPr>
        <w:t xml:space="preserve">als onafhankelijke entiteit </w:t>
      </w:r>
      <w:r w:rsidR="00C5757D" w:rsidRPr="00256B28">
        <w:rPr>
          <w:szCs w:val="18"/>
        </w:rPr>
        <w:t xml:space="preserve">regelmatig beleidsevaluaties uit </w:t>
      </w:r>
      <w:r w:rsidR="00C5757D">
        <w:rPr>
          <w:szCs w:val="18"/>
        </w:rPr>
        <w:t xml:space="preserve">van hoge kwaliteit en rapporteert daarover aan </w:t>
      </w:r>
      <w:r w:rsidR="00C5757D" w:rsidRPr="00256B28">
        <w:rPr>
          <w:szCs w:val="18"/>
        </w:rPr>
        <w:t xml:space="preserve">de Raad van Bewindvoerders. </w:t>
      </w:r>
      <w:r w:rsidR="00C5757D">
        <w:rPr>
          <w:szCs w:val="18"/>
        </w:rPr>
        <w:t xml:space="preserve">In 2015 werd in opdracht van het </w:t>
      </w:r>
      <w:r w:rsidR="00C5757D" w:rsidRPr="005A0BEE">
        <w:rPr>
          <w:i/>
          <w:szCs w:val="18"/>
        </w:rPr>
        <w:t xml:space="preserve">Development </w:t>
      </w:r>
      <w:proofErr w:type="spellStart"/>
      <w:r w:rsidR="00C5757D" w:rsidRPr="005A0BEE">
        <w:rPr>
          <w:i/>
          <w:szCs w:val="18"/>
        </w:rPr>
        <w:t>Effectiveness</w:t>
      </w:r>
      <w:proofErr w:type="spellEnd"/>
      <w:r w:rsidR="00C5757D" w:rsidRPr="005A0BEE">
        <w:rPr>
          <w:i/>
          <w:szCs w:val="18"/>
        </w:rPr>
        <w:t xml:space="preserve"> Comité</w:t>
      </w:r>
      <w:r w:rsidR="00C5757D">
        <w:rPr>
          <w:szCs w:val="18"/>
        </w:rPr>
        <w:t xml:space="preserve"> (CODE) van de Raad van Bewindvoerders de evaluatiefunctie van de Bank beoordeeld. IEG werkt naar aanleiding daarvan momenteel aan een </w:t>
      </w:r>
      <w:proofErr w:type="spellStart"/>
      <w:r w:rsidR="00C5757D">
        <w:rPr>
          <w:szCs w:val="18"/>
        </w:rPr>
        <w:t>organisatiebreed</w:t>
      </w:r>
      <w:proofErr w:type="spellEnd"/>
      <w:r w:rsidR="00C5757D">
        <w:rPr>
          <w:szCs w:val="18"/>
        </w:rPr>
        <w:t xml:space="preserve"> evaluatieraamwerk, dat later dit jaar af moet zijn.</w:t>
      </w:r>
      <w:r w:rsidR="00C5757D" w:rsidRPr="00973312">
        <w:rPr>
          <w:szCs w:val="18"/>
        </w:rPr>
        <w:t xml:space="preserve"> </w:t>
      </w:r>
      <w:r w:rsidR="00C5757D">
        <w:rPr>
          <w:szCs w:val="18"/>
        </w:rPr>
        <w:t xml:space="preserve">Het nieuwe instrumentarium van de Bank dat aan de basis ligt van de landenprogramma’s - zoals de </w:t>
      </w:r>
      <w:proofErr w:type="spellStart"/>
      <w:r w:rsidR="00C5757D" w:rsidRPr="005A0BEE">
        <w:rPr>
          <w:i/>
          <w:szCs w:val="18"/>
        </w:rPr>
        <w:t>Systematic</w:t>
      </w:r>
      <w:proofErr w:type="spellEnd"/>
      <w:r w:rsidR="00C5757D" w:rsidRPr="005A0BEE">
        <w:rPr>
          <w:i/>
          <w:szCs w:val="18"/>
        </w:rPr>
        <w:t xml:space="preserve"> Country </w:t>
      </w:r>
      <w:proofErr w:type="spellStart"/>
      <w:r w:rsidR="00C5757D" w:rsidRPr="005A0BEE">
        <w:rPr>
          <w:i/>
          <w:szCs w:val="18"/>
        </w:rPr>
        <w:t>Diagnostics</w:t>
      </w:r>
      <w:proofErr w:type="spellEnd"/>
      <w:r w:rsidR="00C5757D">
        <w:rPr>
          <w:szCs w:val="18"/>
        </w:rPr>
        <w:t xml:space="preserve"> (SCD) – wordt door landenmedewerkers en partnerlanden positief gewaardeerd. De uitkomsten van een vroege evaluatie van deze instrumenten bevestigen dit beeld. In 2016 voerde de IEG 382 onderzoeken en evaluaties uit van projecten, landenprogramma’s, sectoren en thema’s.</w:t>
      </w:r>
    </w:p>
    <w:p w14:paraId="1D6620A3" w14:textId="77777777" w:rsidR="00C5757D" w:rsidRDefault="00C5757D" w:rsidP="007816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C5757D" w:rsidRPr="00EA0AA8" w14:paraId="0FEF7924" w14:textId="77777777">
        <w:tc>
          <w:tcPr>
            <w:tcW w:w="6912" w:type="dxa"/>
            <w:tcBorders>
              <w:top w:val="single" w:sz="12" w:space="0" w:color="auto"/>
              <w:left w:val="single" w:sz="12" w:space="0" w:color="auto"/>
              <w:bottom w:val="single" w:sz="12" w:space="0" w:color="auto"/>
            </w:tcBorders>
            <w:shd w:val="clear" w:color="auto" w:fill="D0CECE"/>
          </w:tcPr>
          <w:p w14:paraId="71FED66B" w14:textId="77777777" w:rsidR="00C5757D" w:rsidRPr="00EA0AA8" w:rsidRDefault="00C5757D" w:rsidP="007816ED">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5874B278" w14:textId="77777777" w:rsidR="00C5757D" w:rsidRPr="00EA0AA8" w:rsidRDefault="00C5757D" w:rsidP="007816ED">
            <w:pPr>
              <w:rPr>
                <w:b/>
              </w:rPr>
            </w:pPr>
            <w:r w:rsidRPr="00EA0AA8">
              <w:rPr>
                <w:b/>
              </w:rPr>
              <w:t>Score</w:t>
            </w:r>
          </w:p>
        </w:tc>
      </w:tr>
      <w:tr w:rsidR="00C5757D" w14:paraId="68DC1FCF" w14:textId="77777777">
        <w:tc>
          <w:tcPr>
            <w:tcW w:w="6912" w:type="dxa"/>
            <w:tcBorders>
              <w:top w:val="single" w:sz="12" w:space="0" w:color="auto"/>
              <w:left w:val="single" w:sz="12" w:space="0" w:color="auto"/>
            </w:tcBorders>
            <w:shd w:val="clear" w:color="auto" w:fill="auto"/>
          </w:tcPr>
          <w:p w14:paraId="710721DB" w14:textId="77777777" w:rsidR="00C5757D" w:rsidRDefault="00C5757D" w:rsidP="007816ED">
            <w:r>
              <w:t>Helder vastgelegd evaluatiebeleid</w:t>
            </w:r>
          </w:p>
        </w:tc>
        <w:tc>
          <w:tcPr>
            <w:tcW w:w="955" w:type="dxa"/>
            <w:tcBorders>
              <w:top w:val="single" w:sz="12" w:space="0" w:color="auto"/>
              <w:right w:val="single" w:sz="12" w:space="0" w:color="auto"/>
            </w:tcBorders>
            <w:shd w:val="clear" w:color="auto" w:fill="auto"/>
          </w:tcPr>
          <w:p w14:paraId="39AACF36" w14:textId="77777777" w:rsidR="00C5757D" w:rsidRDefault="00C5757D" w:rsidP="007816ED">
            <w:r>
              <w:t>4</w:t>
            </w:r>
          </w:p>
        </w:tc>
      </w:tr>
      <w:tr w:rsidR="00C5757D" w14:paraId="1AE8ED51" w14:textId="77777777">
        <w:tc>
          <w:tcPr>
            <w:tcW w:w="6912" w:type="dxa"/>
            <w:tcBorders>
              <w:left w:val="single" w:sz="12" w:space="0" w:color="auto"/>
            </w:tcBorders>
            <w:shd w:val="clear" w:color="auto" w:fill="auto"/>
          </w:tcPr>
          <w:p w14:paraId="5FBD3631" w14:textId="77777777" w:rsidR="00C5757D" w:rsidRDefault="00C5757D" w:rsidP="007816ED">
            <w:r>
              <w:t>Inrichting evaluatiefunctie</w:t>
            </w:r>
          </w:p>
        </w:tc>
        <w:tc>
          <w:tcPr>
            <w:tcW w:w="955" w:type="dxa"/>
            <w:tcBorders>
              <w:right w:val="single" w:sz="12" w:space="0" w:color="auto"/>
            </w:tcBorders>
            <w:shd w:val="clear" w:color="auto" w:fill="auto"/>
          </w:tcPr>
          <w:p w14:paraId="78D4E883" w14:textId="77777777" w:rsidR="00C5757D" w:rsidRDefault="00C5757D" w:rsidP="007816ED">
            <w:r>
              <w:t>4</w:t>
            </w:r>
          </w:p>
        </w:tc>
      </w:tr>
      <w:tr w:rsidR="00C5757D" w14:paraId="0140F208" w14:textId="77777777">
        <w:tc>
          <w:tcPr>
            <w:tcW w:w="6912" w:type="dxa"/>
            <w:tcBorders>
              <w:left w:val="single" w:sz="12" w:space="0" w:color="auto"/>
            </w:tcBorders>
            <w:shd w:val="clear" w:color="auto" w:fill="auto"/>
          </w:tcPr>
          <w:p w14:paraId="74E4FC7D" w14:textId="77777777" w:rsidR="00C5757D" w:rsidRDefault="00C5757D" w:rsidP="007816ED">
            <w:r>
              <w:t>Onafhankelijkheid evaluatie-eenheid</w:t>
            </w:r>
          </w:p>
        </w:tc>
        <w:tc>
          <w:tcPr>
            <w:tcW w:w="955" w:type="dxa"/>
            <w:tcBorders>
              <w:right w:val="single" w:sz="12" w:space="0" w:color="auto"/>
            </w:tcBorders>
            <w:shd w:val="clear" w:color="auto" w:fill="auto"/>
          </w:tcPr>
          <w:p w14:paraId="0FB72CDE" w14:textId="77777777" w:rsidR="00C5757D" w:rsidRDefault="00C5757D" w:rsidP="007816ED">
            <w:r>
              <w:t>4</w:t>
            </w:r>
          </w:p>
        </w:tc>
      </w:tr>
      <w:tr w:rsidR="00C5757D" w14:paraId="7532460C" w14:textId="77777777">
        <w:tc>
          <w:tcPr>
            <w:tcW w:w="6912" w:type="dxa"/>
            <w:tcBorders>
              <w:left w:val="single" w:sz="12" w:space="0" w:color="auto"/>
            </w:tcBorders>
            <w:shd w:val="clear" w:color="auto" w:fill="auto"/>
          </w:tcPr>
          <w:p w14:paraId="3391C4EB" w14:textId="77777777" w:rsidR="00C5757D" w:rsidRDefault="00C5757D" w:rsidP="007816ED">
            <w:r>
              <w:t>Reikwijdte en relevantie evaluaties</w:t>
            </w:r>
          </w:p>
        </w:tc>
        <w:tc>
          <w:tcPr>
            <w:tcW w:w="955" w:type="dxa"/>
            <w:tcBorders>
              <w:right w:val="single" w:sz="12" w:space="0" w:color="auto"/>
            </w:tcBorders>
            <w:shd w:val="clear" w:color="auto" w:fill="auto"/>
          </w:tcPr>
          <w:p w14:paraId="7A3C450F" w14:textId="77777777" w:rsidR="00C5757D" w:rsidRDefault="00C5757D" w:rsidP="007816ED">
            <w:r>
              <w:t>4</w:t>
            </w:r>
          </w:p>
        </w:tc>
      </w:tr>
      <w:tr w:rsidR="00C5757D" w14:paraId="614806FC" w14:textId="77777777">
        <w:tc>
          <w:tcPr>
            <w:tcW w:w="6912" w:type="dxa"/>
            <w:tcBorders>
              <w:left w:val="single" w:sz="12" w:space="0" w:color="auto"/>
              <w:bottom w:val="single" w:sz="12" w:space="0" w:color="auto"/>
            </w:tcBorders>
            <w:shd w:val="clear" w:color="auto" w:fill="auto"/>
          </w:tcPr>
          <w:p w14:paraId="24B62AAE" w14:textId="77777777" w:rsidR="00C5757D" w:rsidRDefault="00C5757D" w:rsidP="007816ED">
            <w:r>
              <w:t>Follow up aanbevelingen evaluaties</w:t>
            </w:r>
          </w:p>
        </w:tc>
        <w:tc>
          <w:tcPr>
            <w:tcW w:w="955" w:type="dxa"/>
            <w:tcBorders>
              <w:bottom w:val="single" w:sz="12" w:space="0" w:color="auto"/>
              <w:right w:val="single" w:sz="12" w:space="0" w:color="auto"/>
            </w:tcBorders>
            <w:shd w:val="clear" w:color="auto" w:fill="auto"/>
          </w:tcPr>
          <w:p w14:paraId="7B901379" w14:textId="77777777" w:rsidR="00C5757D" w:rsidRDefault="00C5757D" w:rsidP="007816ED">
            <w:r>
              <w:t>3</w:t>
            </w:r>
          </w:p>
        </w:tc>
      </w:tr>
      <w:tr w:rsidR="00C5757D" w:rsidRPr="00EA0AA8" w14:paraId="79702F4D" w14:textId="77777777">
        <w:tc>
          <w:tcPr>
            <w:tcW w:w="6912" w:type="dxa"/>
            <w:tcBorders>
              <w:top w:val="single" w:sz="12" w:space="0" w:color="auto"/>
              <w:left w:val="single" w:sz="12" w:space="0" w:color="auto"/>
              <w:bottom w:val="single" w:sz="12" w:space="0" w:color="auto"/>
            </w:tcBorders>
            <w:shd w:val="clear" w:color="auto" w:fill="D0CECE"/>
          </w:tcPr>
          <w:p w14:paraId="2340DF78" w14:textId="77777777" w:rsidR="00C5757D" w:rsidRPr="00EA0AA8" w:rsidRDefault="00C5757D" w:rsidP="007816ED">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0AC9C3FB" w14:textId="77777777" w:rsidR="00C5757D" w:rsidRPr="00EA0AA8" w:rsidRDefault="00C5757D" w:rsidP="007816ED">
            <w:pPr>
              <w:rPr>
                <w:b/>
              </w:rPr>
            </w:pPr>
            <w:r>
              <w:rPr>
                <w:b/>
              </w:rPr>
              <w:t>4</w:t>
            </w:r>
          </w:p>
        </w:tc>
      </w:tr>
    </w:tbl>
    <w:p w14:paraId="5FD382E0" w14:textId="77777777" w:rsidR="00C5757D" w:rsidRDefault="00C5757D" w:rsidP="007816ED"/>
    <w:p w14:paraId="6290E15B" w14:textId="25FD078C" w:rsidR="00BC3A3B" w:rsidRPr="00BC3A3B" w:rsidRDefault="00C5757D" w:rsidP="00BC3A3B">
      <w:pPr>
        <w:ind w:firstLine="227"/>
      </w:pPr>
      <w:r w:rsidRPr="00193994">
        <w:t>Ver</w:t>
      </w:r>
      <w:r>
        <w:t>andering sinds 2015: positief</w:t>
      </w:r>
      <w:r w:rsidRPr="00193994">
        <w:t xml:space="preserve"> = </w:t>
      </w:r>
      <w:r w:rsidRPr="00193994">
        <w:sym w:font="Wingdings" w:char="F0E9"/>
      </w:r>
    </w:p>
    <w:p w14:paraId="410CFE95" w14:textId="77777777" w:rsidR="00C5757D" w:rsidRDefault="00C5757D" w:rsidP="007816ED"/>
    <w:p w14:paraId="5DED70EB" w14:textId="1783900C" w:rsidR="00C5757D" w:rsidRPr="002D1811" w:rsidRDefault="00C5757D" w:rsidP="002D1811">
      <w:pPr>
        <w:pStyle w:val="Heading2"/>
        <w:tabs>
          <w:tab w:val="left" w:pos="-1162"/>
          <w:tab w:val="left" w:pos="0"/>
          <w:tab w:val="num" w:pos="1160"/>
        </w:tabs>
        <w:spacing w:line="240" w:lineRule="auto"/>
        <w:ind w:hanging="1162"/>
      </w:pPr>
      <w:bookmarkStart w:id="50" w:name="_Toc348364671"/>
      <w:bookmarkStart w:id="51" w:name="_Toc484612353"/>
      <w:bookmarkStart w:id="52" w:name="_Toc491439918"/>
      <w:r>
        <w:t>4</w:t>
      </w:r>
      <w:r w:rsidRPr="004D372F">
        <w:t>.</w:t>
      </w:r>
      <w:r>
        <w:t>6</w:t>
      </w:r>
      <w:r>
        <w:tab/>
      </w:r>
      <w:r w:rsidRPr="004D372F">
        <w:t>Human Resource Management</w:t>
      </w:r>
      <w:bookmarkEnd w:id="50"/>
      <w:bookmarkEnd w:id="51"/>
      <w:bookmarkEnd w:id="52"/>
    </w:p>
    <w:p w14:paraId="7911C780" w14:textId="77777777" w:rsidR="00C5757D" w:rsidRDefault="00C5757D" w:rsidP="00212839">
      <w:pPr>
        <w:spacing w:beforeLines="1" w:before="2" w:afterLines="1" w:after="2" w:line="240" w:lineRule="auto"/>
        <w:rPr>
          <w:szCs w:val="18"/>
        </w:rPr>
      </w:pPr>
      <w:r>
        <w:rPr>
          <w:szCs w:val="18"/>
        </w:rPr>
        <w:t>De Bank</w:t>
      </w:r>
      <w:r w:rsidRPr="003055C3">
        <w:rPr>
          <w:szCs w:val="18"/>
        </w:rPr>
        <w:t xml:space="preserve"> heeft een loopbaanbeleid met voldoende ruimte voor persoonlijke ontwikkeling en training van staf. Er</w:t>
      </w:r>
      <w:r>
        <w:rPr>
          <w:szCs w:val="18"/>
        </w:rPr>
        <w:t xml:space="preserve"> wordt specifiek gekeken naar</w:t>
      </w:r>
      <w:r w:rsidRPr="003055C3">
        <w:rPr>
          <w:szCs w:val="18"/>
        </w:rPr>
        <w:t xml:space="preserve"> vereiste competenties</w:t>
      </w:r>
      <w:r>
        <w:rPr>
          <w:szCs w:val="18"/>
        </w:rPr>
        <w:t xml:space="preserve">. Het aannamebeleid is </w:t>
      </w:r>
      <w:r w:rsidRPr="003055C3">
        <w:rPr>
          <w:szCs w:val="18"/>
        </w:rPr>
        <w:t>gebaseerd op kwaliteit</w:t>
      </w:r>
      <w:r>
        <w:rPr>
          <w:szCs w:val="18"/>
        </w:rPr>
        <w:t xml:space="preserve"> en diversiteit (bij de WBG zijn 172 nationaliteiten vertegenwoordigd) waardoor een juiste </w:t>
      </w:r>
      <w:r w:rsidRPr="005A0BEE">
        <w:rPr>
          <w:i/>
          <w:szCs w:val="18"/>
        </w:rPr>
        <w:t>skill</w:t>
      </w:r>
      <w:r>
        <w:rPr>
          <w:i/>
          <w:szCs w:val="18"/>
        </w:rPr>
        <w:t>s</w:t>
      </w:r>
      <w:r w:rsidRPr="005A0BEE">
        <w:rPr>
          <w:i/>
          <w:szCs w:val="18"/>
        </w:rPr>
        <w:t xml:space="preserve"> mix</w:t>
      </w:r>
      <w:r>
        <w:rPr>
          <w:szCs w:val="18"/>
        </w:rPr>
        <w:t xml:space="preserve"> in stand wordt gehouden</w:t>
      </w:r>
      <w:r w:rsidRPr="003055C3">
        <w:rPr>
          <w:szCs w:val="18"/>
        </w:rPr>
        <w:t>. Jaarlijks worden behaalde resultaten op het gebied v</w:t>
      </w:r>
      <w:r>
        <w:rPr>
          <w:szCs w:val="18"/>
        </w:rPr>
        <w:t>an personeelsinzet geëvalueerd.</w:t>
      </w:r>
    </w:p>
    <w:p w14:paraId="3A1F7B6D" w14:textId="77777777" w:rsidR="00C5757D" w:rsidRPr="003055C3" w:rsidRDefault="00C5757D" w:rsidP="00212839">
      <w:pPr>
        <w:spacing w:beforeLines="1" w:before="2" w:afterLines="1" w:after="2" w:line="240" w:lineRule="auto"/>
        <w:rPr>
          <w:rFonts w:ascii="Times" w:hAnsi="Times"/>
          <w:sz w:val="20"/>
          <w:szCs w:val="20"/>
        </w:rPr>
      </w:pPr>
      <w:r w:rsidRPr="003055C3">
        <w:rPr>
          <w:szCs w:val="18"/>
        </w:rPr>
        <w:t>Er is een rotatiebeleid voor een deel van de functies. Rotatie van staf, mede door het doorgevoerde decentralisatieproces, wordt door de organisatie gestimuleerd. Met een sterkere focus op dienstverlening die dicht bij de klant plaatsvindt, is de verdeling van staf over hoofdkantoor v</w:t>
      </w:r>
      <w:r>
        <w:rPr>
          <w:szCs w:val="18"/>
        </w:rPr>
        <w:t>ersus</w:t>
      </w:r>
      <w:r w:rsidRPr="003055C3">
        <w:rPr>
          <w:szCs w:val="18"/>
        </w:rPr>
        <w:t xml:space="preserve"> landenkantoren in de afgelopen 10 jaa</w:t>
      </w:r>
      <w:r>
        <w:rPr>
          <w:szCs w:val="18"/>
        </w:rPr>
        <w:t>r verschoven van 73%:27% naar 59%:41</w:t>
      </w:r>
      <w:r w:rsidRPr="003055C3">
        <w:rPr>
          <w:szCs w:val="18"/>
        </w:rPr>
        <w:t>%.</w:t>
      </w:r>
    </w:p>
    <w:p w14:paraId="64CEDD3C" w14:textId="77777777" w:rsidR="00C5757D" w:rsidRDefault="00C5757D" w:rsidP="00212839">
      <w:pPr>
        <w:spacing w:beforeLines="1" w:before="2" w:afterLines="1" w:after="2" w:line="240" w:lineRule="auto"/>
        <w:rPr>
          <w:szCs w:val="18"/>
        </w:rPr>
      </w:pPr>
      <w:r w:rsidRPr="003055C3">
        <w:rPr>
          <w:szCs w:val="18"/>
        </w:rPr>
        <w:t>De bezetting van landenkantoren</w:t>
      </w:r>
      <w:r>
        <w:rPr>
          <w:szCs w:val="18"/>
        </w:rPr>
        <w:t>, met name</w:t>
      </w:r>
      <w:r w:rsidRPr="003055C3">
        <w:rPr>
          <w:szCs w:val="18"/>
        </w:rPr>
        <w:t xml:space="preserve"> in fragiele staten</w:t>
      </w:r>
      <w:r>
        <w:rPr>
          <w:szCs w:val="18"/>
        </w:rPr>
        <w:t>,</w:t>
      </w:r>
      <w:r w:rsidRPr="003055C3">
        <w:rPr>
          <w:szCs w:val="18"/>
        </w:rPr>
        <w:t xml:space="preserve"> </w:t>
      </w:r>
      <w:r>
        <w:rPr>
          <w:szCs w:val="18"/>
        </w:rPr>
        <w:t xml:space="preserve">is verbeterd maar wat Nederland betreft kan dit toch nog beter. Het is belangrijk dat hier de juiste </w:t>
      </w:r>
      <w:r w:rsidRPr="007F6AB0">
        <w:rPr>
          <w:i/>
          <w:szCs w:val="18"/>
        </w:rPr>
        <w:t>incentives</w:t>
      </w:r>
      <w:r>
        <w:rPr>
          <w:szCs w:val="18"/>
        </w:rPr>
        <w:t xml:space="preserve"> voor worden gecreëerd.</w:t>
      </w:r>
      <w:r w:rsidRPr="003055C3">
        <w:rPr>
          <w:szCs w:val="18"/>
        </w:rPr>
        <w:t xml:space="preserve"> Het </w:t>
      </w:r>
      <w:r w:rsidRPr="003055C3">
        <w:rPr>
          <w:i/>
          <w:szCs w:val="18"/>
        </w:rPr>
        <w:t>Cross-</w:t>
      </w:r>
      <w:proofErr w:type="spellStart"/>
      <w:r w:rsidRPr="003055C3">
        <w:rPr>
          <w:i/>
          <w:szCs w:val="18"/>
        </w:rPr>
        <w:t>cutting</w:t>
      </w:r>
      <w:proofErr w:type="spellEnd"/>
      <w:r w:rsidRPr="003055C3">
        <w:rPr>
          <w:i/>
          <w:szCs w:val="18"/>
        </w:rPr>
        <w:t xml:space="preserve"> Solutions Area</w:t>
      </w:r>
      <w:r w:rsidRPr="003055C3">
        <w:rPr>
          <w:szCs w:val="18"/>
        </w:rPr>
        <w:t xml:space="preserve"> </w:t>
      </w:r>
      <w:proofErr w:type="spellStart"/>
      <w:r w:rsidRPr="003055C3">
        <w:rPr>
          <w:i/>
          <w:szCs w:val="18"/>
        </w:rPr>
        <w:t>Fragility</w:t>
      </w:r>
      <w:proofErr w:type="spellEnd"/>
      <w:r w:rsidRPr="003055C3">
        <w:rPr>
          <w:i/>
          <w:szCs w:val="18"/>
        </w:rPr>
        <w:t xml:space="preserve">, </w:t>
      </w:r>
      <w:r w:rsidRPr="003055C3">
        <w:rPr>
          <w:i/>
          <w:szCs w:val="18"/>
        </w:rPr>
        <w:lastRenderedPageBreak/>
        <w:t xml:space="preserve">Conflict </w:t>
      </w:r>
      <w:proofErr w:type="spellStart"/>
      <w:r w:rsidRPr="003055C3">
        <w:rPr>
          <w:i/>
          <w:szCs w:val="18"/>
        </w:rPr>
        <w:t>and</w:t>
      </w:r>
      <w:proofErr w:type="spellEnd"/>
      <w:r w:rsidRPr="003055C3">
        <w:rPr>
          <w:i/>
          <w:szCs w:val="18"/>
        </w:rPr>
        <w:t xml:space="preserve"> </w:t>
      </w:r>
      <w:proofErr w:type="spellStart"/>
      <w:r w:rsidRPr="003055C3">
        <w:rPr>
          <w:i/>
          <w:szCs w:val="18"/>
        </w:rPr>
        <w:t>Violence</w:t>
      </w:r>
      <w:proofErr w:type="spellEnd"/>
      <w:r w:rsidRPr="003055C3">
        <w:rPr>
          <w:szCs w:val="18"/>
        </w:rPr>
        <w:t xml:space="preserve"> </w:t>
      </w:r>
      <w:r>
        <w:rPr>
          <w:szCs w:val="18"/>
        </w:rPr>
        <w:t xml:space="preserve">is inmiddels </w:t>
      </w:r>
      <w:r w:rsidRPr="003055C3">
        <w:rPr>
          <w:szCs w:val="18"/>
        </w:rPr>
        <w:t xml:space="preserve">versterkt </w:t>
      </w:r>
      <w:r>
        <w:rPr>
          <w:szCs w:val="18"/>
        </w:rPr>
        <w:t>om</w:t>
      </w:r>
      <w:r w:rsidRPr="003055C3">
        <w:rPr>
          <w:szCs w:val="18"/>
        </w:rPr>
        <w:t xml:space="preserve"> hier verandering in </w:t>
      </w:r>
      <w:r>
        <w:rPr>
          <w:szCs w:val="18"/>
        </w:rPr>
        <w:t>te</w:t>
      </w:r>
      <w:r w:rsidRPr="003055C3">
        <w:rPr>
          <w:szCs w:val="18"/>
        </w:rPr>
        <w:t xml:space="preserve"> brengen.</w:t>
      </w:r>
      <w:r>
        <w:rPr>
          <w:szCs w:val="18"/>
        </w:rPr>
        <w:t xml:space="preserve"> Eerste resultaten daarvan zijn inmiddels zichtbaar.</w:t>
      </w:r>
    </w:p>
    <w:p w14:paraId="6F0A426D" w14:textId="77777777" w:rsidR="00C5757D" w:rsidRDefault="00C5757D" w:rsidP="00212839">
      <w:pPr>
        <w:spacing w:beforeLines="1" w:before="2" w:afterLines="1" w:after="2" w:line="240" w:lineRule="auto"/>
        <w:rPr>
          <w:szCs w:val="18"/>
        </w:rPr>
      </w:pPr>
    </w:p>
    <w:p w14:paraId="77A3448F" w14:textId="155ED262" w:rsidR="00C5757D" w:rsidRDefault="00C5757D" w:rsidP="007816ED">
      <w:pPr>
        <w:rPr>
          <w:szCs w:val="18"/>
        </w:rPr>
      </w:pPr>
      <w:r>
        <w:rPr>
          <w:szCs w:val="18"/>
        </w:rPr>
        <w:t>De WBG heeft in 201</w:t>
      </w:r>
      <w:r w:rsidRPr="00E671F4">
        <w:rPr>
          <w:szCs w:val="18"/>
        </w:rPr>
        <w:t xml:space="preserve">6 als eerste internationale financiële instelling een </w:t>
      </w:r>
      <w:r w:rsidR="00E671F4">
        <w:rPr>
          <w:szCs w:val="18"/>
        </w:rPr>
        <w:t>EDGE-</w:t>
      </w:r>
      <w:r w:rsidRPr="00E671F4">
        <w:rPr>
          <w:szCs w:val="18"/>
        </w:rPr>
        <w:t>certificering verdiend (</w:t>
      </w:r>
      <w:proofErr w:type="spellStart"/>
      <w:r w:rsidRPr="00E671F4">
        <w:rPr>
          <w:i/>
          <w:szCs w:val="13"/>
          <w:shd w:val="clear" w:color="auto" w:fill="FFFFFF"/>
        </w:rPr>
        <w:t>Economic</w:t>
      </w:r>
      <w:proofErr w:type="spellEnd"/>
      <w:r w:rsidRPr="00E671F4">
        <w:rPr>
          <w:i/>
          <w:szCs w:val="13"/>
          <w:shd w:val="clear" w:color="auto" w:fill="FFFFFF"/>
        </w:rPr>
        <w:t xml:space="preserve"> </w:t>
      </w:r>
      <w:proofErr w:type="spellStart"/>
      <w:r w:rsidRPr="00E671F4">
        <w:rPr>
          <w:i/>
          <w:szCs w:val="13"/>
          <w:shd w:val="clear" w:color="auto" w:fill="FFFFFF"/>
        </w:rPr>
        <w:t>Dividends</w:t>
      </w:r>
      <w:proofErr w:type="spellEnd"/>
      <w:r w:rsidRPr="00E671F4">
        <w:rPr>
          <w:i/>
          <w:szCs w:val="13"/>
          <w:shd w:val="clear" w:color="auto" w:fill="FFFFFF"/>
        </w:rPr>
        <w:t xml:space="preserve"> </w:t>
      </w:r>
      <w:proofErr w:type="spellStart"/>
      <w:r w:rsidRPr="00E671F4">
        <w:rPr>
          <w:i/>
          <w:szCs w:val="13"/>
          <w:shd w:val="clear" w:color="auto" w:fill="FFFFFF"/>
        </w:rPr>
        <w:t>for</w:t>
      </w:r>
      <w:proofErr w:type="spellEnd"/>
      <w:r w:rsidRPr="00E671F4">
        <w:rPr>
          <w:i/>
          <w:szCs w:val="13"/>
          <w:shd w:val="clear" w:color="auto" w:fill="FFFFFF"/>
        </w:rPr>
        <w:t xml:space="preserve"> Gender </w:t>
      </w:r>
      <w:proofErr w:type="spellStart"/>
      <w:r w:rsidRPr="00E671F4">
        <w:rPr>
          <w:i/>
          <w:szCs w:val="13"/>
          <w:shd w:val="clear" w:color="auto" w:fill="FFFFFF"/>
        </w:rPr>
        <w:t>Equality</w:t>
      </w:r>
      <w:proofErr w:type="spellEnd"/>
      <w:r w:rsidRPr="00E671F4">
        <w:rPr>
          <w:szCs w:val="18"/>
        </w:rPr>
        <w:t>), een mondiale belangrijke erkenning</w:t>
      </w:r>
      <w:r>
        <w:rPr>
          <w:szCs w:val="18"/>
        </w:rPr>
        <w:t xml:space="preserve"> voor </w:t>
      </w:r>
      <w:r w:rsidRPr="00981B0C">
        <w:rPr>
          <w:szCs w:val="18"/>
        </w:rPr>
        <w:t>het</w:t>
      </w:r>
      <w:r>
        <w:rPr>
          <w:szCs w:val="18"/>
        </w:rPr>
        <w:t xml:space="preserve"> bereiken van gendergelijkheid. Op het hoofdkwartier zijn vrouwen steeds beter vertegenwoordigd in leidinggevende posities en wordt er ook aandacht geschonken aan het bewerkstelligen van </w:t>
      </w:r>
      <w:proofErr w:type="spellStart"/>
      <w:r w:rsidRPr="00735F3D">
        <w:rPr>
          <w:i/>
          <w:szCs w:val="18"/>
        </w:rPr>
        <w:t>equal</w:t>
      </w:r>
      <w:proofErr w:type="spellEnd"/>
      <w:r w:rsidRPr="00735F3D">
        <w:rPr>
          <w:i/>
          <w:szCs w:val="18"/>
        </w:rPr>
        <w:t xml:space="preserve"> </w:t>
      </w:r>
      <w:proofErr w:type="spellStart"/>
      <w:r w:rsidRPr="00735F3D">
        <w:rPr>
          <w:i/>
          <w:szCs w:val="18"/>
        </w:rPr>
        <w:t>pay</w:t>
      </w:r>
      <w:proofErr w:type="spellEnd"/>
      <w:r>
        <w:rPr>
          <w:i/>
          <w:szCs w:val="18"/>
        </w:rPr>
        <w:t xml:space="preserve">. </w:t>
      </w:r>
      <w:r>
        <w:rPr>
          <w:szCs w:val="18"/>
        </w:rPr>
        <w:t>De WBG heeft zich gecommitteerd aan het bereiken van genderpariteit voor senior management per 2020.</w:t>
      </w:r>
    </w:p>
    <w:p w14:paraId="4D8A109E" w14:textId="77777777" w:rsidR="00C5757D" w:rsidRDefault="00C5757D" w:rsidP="007816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C5757D" w:rsidRPr="00EA0AA8" w14:paraId="293878CF" w14:textId="77777777">
        <w:tc>
          <w:tcPr>
            <w:tcW w:w="6912" w:type="dxa"/>
            <w:tcBorders>
              <w:top w:val="single" w:sz="12" w:space="0" w:color="auto"/>
              <w:left w:val="single" w:sz="12" w:space="0" w:color="auto"/>
              <w:bottom w:val="single" w:sz="12" w:space="0" w:color="auto"/>
            </w:tcBorders>
            <w:shd w:val="clear" w:color="auto" w:fill="D0CECE"/>
          </w:tcPr>
          <w:p w14:paraId="44AC622D" w14:textId="77777777" w:rsidR="00C5757D" w:rsidRPr="00EA0AA8" w:rsidRDefault="00C5757D" w:rsidP="007816ED">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243F3DF4" w14:textId="77777777" w:rsidR="00C5757D" w:rsidRPr="00EA0AA8" w:rsidRDefault="00C5757D" w:rsidP="007816ED">
            <w:pPr>
              <w:rPr>
                <w:b/>
              </w:rPr>
            </w:pPr>
            <w:r w:rsidRPr="00EA0AA8">
              <w:rPr>
                <w:b/>
              </w:rPr>
              <w:t>Score</w:t>
            </w:r>
          </w:p>
        </w:tc>
      </w:tr>
      <w:tr w:rsidR="00C5757D" w14:paraId="13C1ACE5" w14:textId="77777777">
        <w:tc>
          <w:tcPr>
            <w:tcW w:w="6912" w:type="dxa"/>
            <w:tcBorders>
              <w:top w:val="single" w:sz="12" w:space="0" w:color="auto"/>
              <w:left w:val="single" w:sz="12" w:space="0" w:color="auto"/>
            </w:tcBorders>
            <w:shd w:val="clear" w:color="auto" w:fill="auto"/>
          </w:tcPr>
          <w:p w14:paraId="767F5564" w14:textId="77777777" w:rsidR="00C5757D" w:rsidRDefault="00C5757D" w:rsidP="007816ED">
            <w:r>
              <w:t xml:space="preserve">Mobiliteit </w:t>
            </w:r>
          </w:p>
        </w:tc>
        <w:tc>
          <w:tcPr>
            <w:tcW w:w="955" w:type="dxa"/>
            <w:tcBorders>
              <w:top w:val="single" w:sz="12" w:space="0" w:color="auto"/>
              <w:right w:val="single" w:sz="12" w:space="0" w:color="auto"/>
            </w:tcBorders>
            <w:shd w:val="clear" w:color="auto" w:fill="auto"/>
          </w:tcPr>
          <w:p w14:paraId="0DFBE660" w14:textId="77777777" w:rsidR="00C5757D" w:rsidRDefault="00C5757D" w:rsidP="007816ED">
            <w:r>
              <w:t>4</w:t>
            </w:r>
          </w:p>
        </w:tc>
      </w:tr>
      <w:tr w:rsidR="00C5757D" w14:paraId="2785787A" w14:textId="77777777">
        <w:tc>
          <w:tcPr>
            <w:tcW w:w="6912" w:type="dxa"/>
            <w:tcBorders>
              <w:left w:val="single" w:sz="12" w:space="0" w:color="auto"/>
            </w:tcBorders>
            <w:shd w:val="clear" w:color="auto" w:fill="auto"/>
          </w:tcPr>
          <w:p w14:paraId="081293A1" w14:textId="77777777" w:rsidR="00C5757D" w:rsidRDefault="00C5757D" w:rsidP="007816ED">
            <w:r>
              <w:t xml:space="preserve">Kwaliteit </w:t>
            </w:r>
          </w:p>
        </w:tc>
        <w:tc>
          <w:tcPr>
            <w:tcW w:w="955" w:type="dxa"/>
            <w:tcBorders>
              <w:right w:val="single" w:sz="12" w:space="0" w:color="auto"/>
            </w:tcBorders>
            <w:shd w:val="clear" w:color="auto" w:fill="auto"/>
          </w:tcPr>
          <w:p w14:paraId="4BB63113" w14:textId="77777777" w:rsidR="00C5757D" w:rsidRDefault="00C5757D" w:rsidP="007816ED">
            <w:r>
              <w:t>4</w:t>
            </w:r>
          </w:p>
        </w:tc>
      </w:tr>
      <w:tr w:rsidR="00C5757D" w14:paraId="5944C6A4" w14:textId="77777777">
        <w:tc>
          <w:tcPr>
            <w:tcW w:w="6912" w:type="dxa"/>
            <w:tcBorders>
              <w:left w:val="single" w:sz="12" w:space="0" w:color="auto"/>
            </w:tcBorders>
            <w:shd w:val="clear" w:color="auto" w:fill="auto"/>
          </w:tcPr>
          <w:p w14:paraId="466B9A3D" w14:textId="77777777" w:rsidR="00C5757D" w:rsidRDefault="00C5757D" w:rsidP="007816ED">
            <w:r>
              <w:t>Diversiteit</w:t>
            </w:r>
          </w:p>
        </w:tc>
        <w:tc>
          <w:tcPr>
            <w:tcW w:w="955" w:type="dxa"/>
            <w:tcBorders>
              <w:right w:val="single" w:sz="12" w:space="0" w:color="auto"/>
            </w:tcBorders>
            <w:shd w:val="clear" w:color="auto" w:fill="auto"/>
          </w:tcPr>
          <w:p w14:paraId="2908FFA9" w14:textId="3BFED8C7" w:rsidR="00C5757D" w:rsidRDefault="00C5757D" w:rsidP="007816ED">
            <w:r>
              <w:t>4</w:t>
            </w:r>
          </w:p>
        </w:tc>
      </w:tr>
      <w:tr w:rsidR="00C5757D" w14:paraId="228012D2" w14:textId="77777777">
        <w:tc>
          <w:tcPr>
            <w:tcW w:w="6912" w:type="dxa"/>
            <w:tcBorders>
              <w:left w:val="single" w:sz="12" w:space="0" w:color="auto"/>
              <w:bottom w:val="single" w:sz="12" w:space="0" w:color="auto"/>
            </w:tcBorders>
            <w:shd w:val="clear" w:color="auto" w:fill="auto"/>
          </w:tcPr>
          <w:p w14:paraId="3E857006" w14:textId="77777777" w:rsidR="00C5757D" w:rsidRDefault="00C5757D" w:rsidP="007816ED">
            <w:r>
              <w:t>Genderbalans</w:t>
            </w:r>
          </w:p>
        </w:tc>
        <w:tc>
          <w:tcPr>
            <w:tcW w:w="955" w:type="dxa"/>
            <w:tcBorders>
              <w:bottom w:val="single" w:sz="12" w:space="0" w:color="auto"/>
              <w:right w:val="single" w:sz="12" w:space="0" w:color="auto"/>
            </w:tcBorders>
            <w:shd w:val="clear" w:color="auto" w:fill="auto"/>
          </w:tcPr>
          <w:p w14:paraId="202765FB" w14:textId="77777777" w:rsidR="00C5757D" w:rsidRDefault="00C5757D" w:rsidP="007816ED">
            <w:r>
              <w:t>3</w:t>
            </w:r>
          </w:p>
        </w:tc>
      </w:tr>
      <w:tr w:rsidR="00C5757D" w:rsidRPr="00EA0AA8" w14:paraId="41880A56" w14:textId="77777777">
        <w:tc>
          <w:tcPr>
            <w:tcW w:w="6912" w:type="dxa"/>
            <w:tcBorders>
              <w:top w:val="single" w:sz="12" w:space="0" w:color="auto"/>
              <w:left w:val="single" w:sz="12" w:space="0" w:color="auto"/>
              <w:bottom w:val="single" w:sz="12" w:space="0" w:color="auto"/>
            </w:tcBorders>
            <w:shd w:val="clear" w:color="auto" w:fill="D0CECE"/>
          </w:tcPr>
          <w:p w14:paraId="265EC474" w14:textId="77777777" w:rsidR="00C5757D" w:rsidRPr="00EA0AA8" w:rsidRDefault="00C5757D" w:rsidP="007816ED">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1CA35888" w14:textId="77777777" w:rsidR="00C5757D" w:rsidRPr="00EA0AA8" w:rsidRDefault="00C5757D" w:rsidP="007816ED">
            <w:pPr>
              <w:rPr>
                <w:b/>
              </w:rPr>
            </w:pPr>
            <w:r>
              <w:rPr>
                <w:b/>
              </w:rPr>
              <w:t>4</w:t>
            </w:r>
          </w:p>
        </w:tc>
      </w:tr>
    </w:tbl>
    <w:p w14:paraId="1B01502C" w14:textId="77777777" w:rsidR="00C5757D" w:rsidRDefault="00C5757D" w:rsidP="007816ED"/>
    <w:p w14:paraId="1C6D740A" w14:textId="0DC80E15" w:rsidR="00C5757D" w:rsidRDefault="00C5757D" w:rsidP="00BC3A3B">
      <w:pPr>
        <w:ind w:firstLine="227"/>
      </w:pPr>
      <w:r w:rsidRPr="00193994">
        <w:t>Ver</w:t>
      </w:r>
      <w:r>
        <w:t>andering sinds 2015: positief</w:t>
      </w:r>
      <w:r w:rsidRPr="00193994">
        <w:t xml:space="preserve"> =  </w:t>
      </w:r>
      <w:r w:rsidRPr="00193994">
        <w:sym w:font="Wingdings" w:char="F0E9"/>
      </w:r>
    </w:p>
    <w:p w14:paraId="4ED0F95F" w14:textId="77777777" w:rsidR="00BC3A3B" w:rsidRPr="00981B0C" w:rsidRDefault="00BC3A3B" w:rsidP="00BC3A3B">
      <w:pPr>
        <w:ind w:firstLine="227"/>
        <w:rPr>
          <w:b/>
        </w:rPr>
      </w:pPr>
    </w:p>
    <w:p w14:paraId="397926A9" w14:textId="36D23732" w:rsidR="00C5757D" w:rsidRDefault="00C5757D" w:rsidP="002D1811">
      <w:pPr>
        <w:pStyle w:val="Heading2"/>
        <w:tabs>
          <w:tab w:val="left" w:pos="-1162"/>
          <w:tab w:val="left" w:pos="0"/>
          <w:tab w:val="num" w:pos="1160"/>
        </w:tabs>
        <w:spacing w:line="240" w:lineRule="auto"/>
        <w:ind w:hanging="1162"/>
      </w:pPr>
      <w:bookmarkStart w:id="53" w:name="_Toc484612354"/>
      <w:bookmarkStart w:id="54" w:name="_Toc491439919"/>
      <w:r>
        <w:t>4.7</w:t>
      </w:r>
      <w:r w:rsidRPr="004D372F">
        <w:t xml:space="preserve"> </w:t>
      </w:r>
      <w:r>
        <w:tab/>
      </w:r>
      <w:r w:rsidRPr="004D372F">
        <w:t xml:space="preserve">Financiële </w:t>
      </w:r>
      <w:r>
        <w:t>stabiliteit</w:t>
      </w:r>
      <w:bookmarkEnd w:id="53"/>
      <w:bookmarkEnd w:id="54"/>
    </w:p>
    <w:p w14:paraId="4C769DCB" w14:textId="56C4F028" w:rsidR="00C5757D" w:rsidRDefault="00C5757D" w:rsidP="001E6B30">
      <w:r>
        <w:t xml:space="preserve">De </w:t>
      </w:r>
      <w:proofErr w:type="spellStart"/>
      <w:r w:rsidRPr="00981B0C">
        <w:rPr>
          <w:i/>
        </w:rPr>
        <w:t>Internal</w:t>
      </w:r>
      <w:proofErr w:type="spellEnd"/>
      <w:r w:rsidRPr="00981B0C">
        <w:rPr>
          <w:i/>
        </w:rPr>
        <w:t xml:space="preserve"> Audit </w:t>
      </w:r>
      <w:proofErr w:type="spellStart"/>
      <w:r w:rsidRPr="00981B0C">
        <w:rPr>
          <w:i/>
        </w:rPr>
        <w:t>Vice</w:t>
      </w:r>
      <w:proofErr w:type="spellEnd"/>
      <w:r w:rsidRPr="00981B0C">
        <w:rPr>
          <w:i/>
        </w:rPr>
        <w:t xml:space="preserve"> </w:t>
      </w:r>
      <w:proofErr w:type="spellStart"/>
      <w:r w:rsidRPr="00981B0C">
        <w:rPr>
          <w:i/>
        </w:rPr>
        <w:t>Presidency</w:t>
      </w:r>
      <w:proofErr w:type="spellEnd"/>
      <w:r>
        <w:t xml:space="preserve"> (IAD) is onafhankelijk en objectief en heeft als oogmerk om WBG-activiteiten te verbeteren door de effectiviteit van bestuur, risicomanagement en controlemechanismen te evalueren. De IAD rapporteert aan P</w:t>
      </w:r>
      <w:r w:rsidRPr="00981B0C">
        <w:t xml:space="preserve">resident </w:t>
      </w:r>
      <w:r>
        <w:t xml:space="preserve">Kim </w:t>
      </w:r>
      <w:r w:rsidRPr="00981B0C">
        <w:t xml:space="preserve">en </w:t>
      </w:r>
      <w:r>
        <w:t xml:space="preserve">staat </w:t>
      </w:r>
      <w:r w:rsidRPr="00981B0C">
        <w:t>onder</w:t>
      </w:r>
      <w:r>
        <w:t xml:space="preserve"> toezicht van het Audit Comité. Het Audit Comité</w:t>
      </w:r>
      <w:r w:rsidRPr="00981B0C">
        <w:t xml:space="preserve"> </w:t>
      </w:r>
      <w:r>
        <w:t xml:space="preserve">ondersteunt </w:t>
      </w:r>
      <w:r w:rsidRPr="00981B0C">
        <w:t xml:space="preserve">de Raad </w:t>
      </w:r>
      <w:r>
        <w:t xml:space="preserve">van Bewindvoerders </w:t>
      </w:r>
      <w:r w:rsidRPr="00981B0C">
        <w:t xml:space="preserve">bij het </w:t>
      </w:r>
      <w:r>
        <w:t xml:space="preserve">houden van </w:t>
      </w:r>
      <w:r w:rsidRPr="00981B0C">
        <w:t xml:space="preserve">toezicht op </w:t>
      </w:r>
      <w:r>
        <w:t xml:space="preserve">de </w:t>
      </w:r>
      <w:r w:rsidRPr="00981B0C">
        <w:t xml:space="preserve">financiën, </w:t>
      </w:r>
      <w:r>
        <w:t xml:space="preserve">het </w:t>
      </w:r>
      <w:r w:rsidRPr="00981B0C">
        <w:t xml:space="preserve">risicomanagement en </w:t>
      </w:r>
      <w:r>
        <w:t xml:space="preserve">de </w:t>
      </w:r>
      <w:r w:rsidRPr="00981B0C">
        <w:t>interne controle</w:t>
      </w:r>
      <w:r>
        <w:t xml:space="preserve"> van de WBG</w:t>
      </w:r>
      <w:r w:rsidRPr="00981B0C">
        <w:t xml:space="preserve">. Het houdt toezicht op </w:t>
      </w:r>
      <w:r>
        <w:t xml:space="preserve">het financieel jaarverslag, de rapporten van de externe auditor en </w:t>
      </w:r>
      <w:r w:rsidRPr="00981B0C">
        <w:t xml:space="preserve">de financiële </w:t>
      </w:r>
      <w:r>
        <w:t xml:space="preserve">en inhoudelijke </w:t>
      </w:r>
      <w:r w:rsidRPr="00981B0C">
        <w:t xml:space="preserve">verslaggeving van </w:t>
      </w:r>
      <w:r>
        <w:t>T</w:t>
      </w:r>
      <w:r w:rsidRPr="00981B0C">
        <w:t xml:space="preserve">rust </w:t>
      </w:r>
      <w:r>
        <w:t>F</w:t>
      </w:r>
      <w:r w:rsidRPr="00981B0C">
        <w:t>unds</w:t>
      </w:r>
      <w:r>
        <w:t>. Het jaarverslag IAD vat de bevindingen samen van het KPMG audit rapport en geeft een kwalitatieve beoordeling van de belangrijkste thema's en trends. De rapportages zijn van goede kwaliteit en worden openbaar gemaakt.</w:t>
      </w:r>
    </w:p>
    <w:p w14:paraId="573AA757" w14:textId="77777777" w:rsidR="00C5757D" w:rsidRDefault="00C5757D" w:rsidP="001E6B30"/>
    <w:p w14:paraId="2C868AFB" w14:textId="22349078" w:rsidR="00C5757D" w:rsidRDefault="00C5757D" w:rsidP="001E6B30">
      <w:r>
        <w:t xml:space="preserve">De maatregelen die de Bank heeft genomen in het kader van de </w:t>
      </w:r>
      <w:proofErr w:type="spellStart"/>
      <w:r>
        <w:rPr>
          <w:i/>
        </w:rPr>
        <w:t>Margins</w:t>
      </w:r>
      <w:proofErr w:type="spellEnd"/>
      <w:r>
        <w:rPr>
          <w:i/>
        </w:rPr>
        <w:t xml:space="preserve"> </w:t>
      </w:r>
      <w:proofErr w:type="spellStart"/>
      <w:r>
        <w:rPr>
          <w:i/>
        </w:rPr>
        <w:t>for</w:t>
      </w:r>
      <w:proofErr w:type="spellEnd"/>
      <w:r>
        <w:rPr>
          <w:i/>
        </w:rPr>
        <w:t xml:space="preserve"> Manoeuvre </w:t>
      </w:r>
      <w:r w:rsidRPr="00E62A03">
        <w:t>(</w:t>
      </w:r>
      <w:r>
        <w:t xml:space="preserve">bezuinigingen op operationele uitgaven, verhoging van de inkomsten, verhoogde </w:t>
      </w:r>
      <w:proofErr w:type="spellStart"/>
      <w:r w:rsidRPr="00E62A03">
        <w:rPr>
          <w:i/>
        </w:rPr>
        <w:t>cost</w:t>
      </w:r>
      <w:proofErr w:type="spellEnd"/>
      <w:r w:rsidRPr="00E62A03">
        <w:rPr>
          <w:i/>
        </w:rPr>
        <w:t xml:space="preserve"> recovery</w:t>
      </w:r>
      <w:r>
        <w:rPr>
          <w:i/>
        </w:rPr>
        <w:t xml:space="preserve"> </w:t>
      </w:r>
      <w:r w:rsidRPr="00E62A03">
        <w:t>op externe fondsen</w:t>
      </w:r>
      <w:r>
        <w:t xml:space="preserve">) heeft ertoe geleid dat de Bank tegemoet kon komen aan de toegenomen vraag naar leningen van klantlanden, met behoud van een prudente </w:t>
      </w:r>
      <w:proofErr w:type="spellStart"/>
      <w:r w:rsidRPr="000B025A">
        <w:rPr>
          <w:i/>
        </w:rPr>
        <w:t>equity-to-loan</w:t>
      </w:r>
      <w:proofErr w:type="spellEnd"/>
      <w:r>
        <w:t xml:space="preserve"> ratio. Het Standard </w:t>
      </w:r>
      <w:proofErr w:type="spellStart"/>
      <w:r>
        <w:t>and</w:t>
      </w:r>
      <w:proofErr w:type="spellEnd"/>
      <w:r>
        <w:t xml:space="preserve"> </w:t>
      </w:r>
      <w:proofErr w:type="spellStart"/>
      <w:r>
        <w:t>Poor’s</w:t>
      </w:r>
      <w:proofErr w:type="spellEnd"/>
      <w:r>
        <w:t xml:space="preserve"> (S&amp;P) rapport </w:t>
      </w:r>
      <w:proofErr w:type="spellStart"/>
      <w:r w:rsidRPr="003B07D8">
        <w:rPr>
          <w:i/>
        </w:rPr>
        <w:t>Supranationals</w:t>
      </w:r>
      <w:proofErr w:type="spellEnd"/>
      <w:r>
        <w:t xml:space="preserve"> 2016 laat zien dat het business profiel van de IBRD gewaardeerd wordt op </w:t>
      </w:r>
      <w:proofErr w:type="spellStart"/>
      <w:r w:rsidRPr="003B07D8">
        <w:rPr>
          <w:i/>
        </w:rPr>
        <w:t>extremely</w:t>
      </w:r>
      <w:proofErr w:type="spellEnd"/>
      <w:r w:rsidRPr="003B07D8">
        <w:rPr>
          <w:i/>
        </w:rPr>
        <w:t xml:space="preserve"> strong</w:t>
      </w:r>
      <w:r>
        <w:rPr>
          <w:i/>
        </w:rPr>
        <w:t xml:space="preserve"> </w:t>
      </w:r>
      <w:r w:rsidRPr="003B07D8">
        <w:t>en het financieel profiel op</w:t>
      </w:r>
      <w:r>
        <w:rPr>
          <w:i/>
        </w:rPr>
        <w:t xml:space="preserve"> </w:t>
      </w:r>
      <w:proofErr w:type="spellStart"/>
      <w:r>
        <w:rPr>
          <w:i/>
        </w:rPr>
        <w:t>very</w:t>
      </w:r>
      <w:proofErr w:type="spellEnd"/>
      <w:r>
        <w:rPr>
          <w:i/>
        </w:rPr>
        <w:t xml:space="preserve"> strong.</w:t>
      </w:r>
      <w:r>
        <w:t xml:space="preserve"> De liquide middelen overstijgen de verplichtingen voor een jaar ruim. Bovendien is de portefeuille van de IBRD breed gediversifieerd, zowel naar geografische markt als de aard van de beleggingen. De IBRD zou in staat moeten zijn om aan alle verplichtingen te kunnen voldoen gedurende tenminste één jaar zelfs bij extreem gespannen marktomstandigheden.</w:t>
      </w:r>
    </w:p>
    <w:p w14:paraId="22F47A6D" w14:textId="77777777" w:rsidR="00C5757D" w:rsidRDefault="00C5757D" w:rsidP="001E6B30"/>
    <w:p w14:paraId="1B47924C" w14:textId="38810CD0" w:rsidR="00C5757D" w:rsidRPr="00E62A03" w:rsidRDefault="00C5757D" w:rsidP="001E6B30">
      <w:r>
        <w:t xml:space="preserve">Het laatste rapport van de IAD (2016) waarschuwt daarentegen dat aanhoudende lage rentes en verschuivingen in wisselkoersen leiden tot meer volatiliteit in inkomen en daarmee een beperkte groei van het eigen vermogen (verslechterde </w:t>
      </w:r>
      <w:proofErr w:type="spellStart"/>
      <w:r w:rsidRPr="00E62A03">
        <w:rPr>
          <w:i/>
        </w:rPr>
        <w:t>loan</w:t>
      </w:r>
      <w:proofErr w:type="spellEnd"/>
      <w:r w:rsidRPr="00E62A03">
        <w:rPr>
          <w:i/>
        </w:rPr>
        <w:t xml:space="preserve"> </w:t>
      </w:r>
      <w:proofErr w:type="spellStart"/>
      <w:r w:rsidRPr="00E62A03">
        <w:rPr>
          <w:i/>
        </w:rPr>
        <w:t>coverage</w:t>
      </w:r>
      <w:proofErr w:type="spellEnd"/>
      <w:r w:rsidRPr="00E62A03">
        <w:rPr>
          <w:i/>
        </w:rPr>
        <w:t xml:space="preserve"> ratio</w:t>
      </w:r>
      <w:r>
        <w:t xml:space="preserve">). De IAD geeft aan dat de </w:t>
      </w:r>
      <w:proofErr w:type="spellStart"/>
      <w:r>
        <w:t>kapitaaltoereikendheid</w:t>
      </w:r>
      <w:proofErr w:type="spellEnd"/>
      <w:r>
        <w:t xml:space="preserve"> van de Bank voor de komende jaren zorgvuldig moet worden geanalyseerd, aangezien de uitvoering van activiteiten in fragiele en post-conflictlanden gepaard gaat met hogere risico’s.</w:t>
      </w:r>
      <w:r w:rsidRPr="001E6B30">
        <w:t xml:space="preserve"> </w:t>
      </w:r>
      <w:r>
        <w:t xml:space="preserve">De IAD verwelkomt de nieuwe operationele standaarden voor aanbestedingen en </w:t>
      </w:r>
      <w:proofErr w:type="spellStart"/>
      <w:r w:rsidRPr="00E62A03">
        <w:rPr>
          <w:i/>
        </w:rPr>
        <w:t>safeguards</w:t>
      </w:r>
      <w:proofErr w:type="spellEnd"/>
      <w:r w:rsidRPr="00E62A03">
        <w:t xml:space="preserve">, maar waarschuwt </w:t>
      </w:r>
      <w:r>
        <w:t xml:space="preserve">dat deze hand in hand zullen </w:t>
      </w:r>
      <w:r>
        <w:lastRenderedPageBreak/>
        <w:t>moeten gaan met additioneel budget voor versterking van de capaciteit van Bankstaf en klantlanden.</w:t>
      </w:r>
    </w:p>
    <w:p w14:paraId="35BEB96D" w14:textId="022DFBA7" w:rsidR="00C5757D" w:rsidRDefault="00C5757D" w:rsidP="007F028F"/>
    <w:p w14:paraId="0BB7E94E" w14:textId="563D7132" w:rsidR="00C5757D" w:rsidRDefault="00C5757D" w:rsidP="007816ED">
      <w:r>
        <w:t xml:space="preserve">IDA zal vanaf 2017 haar </w:t>
      </w:r>
      <w:r w:rsidR="00E671F4">
        <w:t>doelstellingen</w:t>
      </w:r>
      <w:r>
        <w:t xml:space="preserve"> verwezenlijken door naast donorbijdragen voor het eerst ook financiering uit de kapitaalmarkt aan te trekken. Dit gebeurt met het over de afgelopen middelenaanvullingen ingelegde kapitaal als onderpand en op basis van de pas verkregen </w:t>
      </w:r>
      <w:r w:rsidRPr="009A00B2">
        <w:rPr>
          <w:i/>
        </w:rPr>
        <w:t>triple-A</w:t>
      </w:r>
      <w:r>
        <w:t xml:space="preserve"> status. IDA kan hiermee het totale financiële pakket significant uitbreiden.</w:t>
      </w:r>
    </w:p>
    <w:p w14:paraId="64559786" w14:textId="77777777" w:rsidR="00C5757D" w:rsidRDefault="00C5757D" w:rsidP="007816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C5757D" w:rsidRPr="00EA0AA8" w14:paraId="765E5D9F" w14:textId="77777777">
        <w:tc>
          <w:tcPr>
            <w:tcW w:w="6912" w:type="dxa"/>
            <w:tcBorders>
              <w:top w:val="single" w:sz="12" w:space="0" w:color="auto"/>
              <w:left w:val="single" w:sz="12" w:space="0" w:color="auto"/>
              <w:bottom w:val="single" w:sz="12" w:space="0" w:color="auto"/>
            </w:tcBorders>
            <w:shd w:val="clear" w:color="auto" w:fill="D0CECE"/>
          </w:tcPr>
          <w:p w14:paraId="42A2E099" w14:textId="77777777" w:rsidR="00C5757D" w:rsidRPr="00EA0AA8" w:rsidRDefault="00C5757D" w:rsidP="007816ED">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7D8F1D27" w14:textId="77777777" w:rsidR="00C5757D" w:rsidRPr="00EA0AA8" w:rsidRDefault="00C5757D" w:rsidP="007816ED">
            <w:pPr>
              <w:rPr>
                <w:b/>
              </w:rPr>
            </w:pPr>
            <w:r w:rsidRPr="00EA0AA8">
              <w:rPr>
                <w:b/>
              </w:rPr>
              <w:t>Score</w:t>
            </w:r>
          </w:p>
        </w:tc>
      </w:tr>
      <w:tr w:rsidR="00C5757D" w14:paraId="60C5FA14" w14:textId="77777777">
        <w:tc>
          <w:tcPr>
            <w:tcW w:w="6912" w:type="dxa"/>
            <w:tcBorders>
              <w:top w:val="single" w:sz="12" w:space="0" w:color="auto"/>
              <w:left w:val="single" w:sz="12" w:space="0" w:color="auto"/>
            </w:tcBorders>
            <w:shd w:val="clear" w:color="auto" w:fill="auto"/>
          </w:tcPr>
          <w:p w14:paraId="1D3A91BA" w14:textId="77777777" w:rsidR="00C5757D" w:rsidRDefault="00C5757D" w:rsidP="007816ED">
            <w:r>
              <w:t>Verhouding goedgekeurde begroting / ontvangen bijdragen</w:t>
            </w:r>
          </w:p>
        </w:tc>
        <w:tc>
          <w:tcPr>
            <w:tcW w:w="955" w:type="dxa"/>
            <w:tcBorders>
              <w:top w:val="single" w:sz="12" w:space="0" w:color="auto"/>
              <w:right w:val="single" w:sz="12" w:space="0" w:color="auto"/>
            </w:tcBorders>
            <w:shd w:val="clear" w:color="auto" w:fill="auto"/>
          </w:tcPr>
          <w:p w14:paraId="6AF554E0" w14:textId="77777777" w:rsidR="00C5757D" w:rsidRDefault="00C5757D" w:rsidP="007816ED">
            <w:r>
              <w:t>4</w:t>
            </w:r>
          </w:p>
        </w:tc>
      </w:tr>
      <w:tr w:rsidR="00C5757D" w14:paraId="797C4D13" w14:textId="77777777">
        <w:tc>
          <w:tcPr>
            <w:tcW w:w="6912" w:type="dxa"/>
            <w:tcBorders>
              <w:left w:val="single" w:sz="12" w:space="0" w:color="auto"/>
            </w:tcBorders>
            <w:shd w:val="clear" w:color="auto" w:fill="auto"/>
          </w:tcPr>
          <w:p w14:paraId="2617AFE7" w14:textId="77777777" w:rsidR="00C5757D" w:rsidRDefault="00C5757D" w:rsidP="007816ED">
            <w:r>
              <w:t>Liquiditeitspositie en/of solvabiliteitspositie</w:t>
            </w:r>
          </w:p>
        </w:tc>
        <w:tc>
          <w:tcPr>
            <w:tcW w:w="955" w:type="dxa"/>
            <w:tcBorders>
              <w:right w:val="single" w:sz="12" w:space="0" w:color="auto"/>
            </w:tcBorders>
            <w:shd w:val="clear" w:color="auto" w:fill="auto"/>
          </w:tcPr>
          <w:p w14:paraId="75C3F433" w14:textId="77777777" w:rsidR="00C5757D" w:rsidRDefault="00C5757D" w:rsidP="007816ED">
            <w:r>
              <w:t>4</w:t>
            </w:r>
          </w:p>
        </w:tc>
      </w:tr>
      <w:tr w:rsidR="00C5757D" w14:paraId="322134C7" w14:textId="77777777">
        <w:tc>
          <w:tcPr>
            <w:tcW w:w="6912" w:type="dxa"/>
            <w:tcBorders>
              <w:left w:val="single" w:sz="12" w:space="0" w:color="auto"/>
            </w:tcBorders>
            <w:shd w:val="clear" w:color="auto" w:fill="auto"/>
          </w:tcPr>
          <w:p w14:paraId="30A5B82E" w14:textId="77777777" w:rsidR="00C5757D" w:rsidRDefault="00C5757D" w:rsidP="007816ED">
            <w:r>
              <w:t>Interne auditfunctie</w:t>
            </w:r>
          </w:p>
        </w:tc>
        <w:tc>
          <w:tcPr>
            <w:tcW w:w="955" w:type="dxa"/>
            <w:tcBorders>
              <w:right w:val="single" w:sz="12" w:space="0" w:color="auto"/>
            </w:tcBorders>
            <w:shd w:val="clear" w:color="auto" w:fill="auto"/>
          </w:tcPr>
          <w:p w14:paraId="6097944D" w14:textId="77777777" w:rsidR="00C5757D" w:rsidRDefault="00C5757D" w:rsidP="007816ED">
            <w:r>
              <w:t>4</w:t>
            </w:r>
          </w:p>
        </w:tc>
      </w:tr>
      <w:tr w:rsidR="00C5757D" w14:paraId="02EFB5BF" w14:textId="77777777">
        <w:tc>
          <w:tcPr>
            <w:tcW w:w="6912" w:type="dxa"/>
            <w:tcBorders>
              <w:left w:val="single" w:sz="12" w:space="0" w:color="auto"/>
            </w:tcBorders>
            <w:shd w:val="clear" w:color="auto" w:fill="auto"/>
          </w:tcPr>
          <w:p w14:paraId="3EF271DD" w14:textId="77777777" w:rsidR="00C5757D" w:rsidRDefault="00C5757D" w:rsidP="007816ED">
            <w:r>
              <w:t>Kwaliteit rapportages</w:t>
            </w:r>
          </w:p>
        </w:tc>
        <w:tc>
          <w:tcPr>
            <w:tcW w:w="955" w:type="dxa"/>
            <w:tcBorders>
              <w:right w:val="single" w:sz="12" w:space="0" w:color="auto"/>
            </w:tcBorders>
            <w:shd w:val="clear" w:color="auto" w:fill="auto"/>
          </w:tcPr>
          <w:p w14:paraId="7606EE45" w14:textId="77777777" w:rsidR="00C5757D" w:rsidRDefault="00C5757D" w:rsidP="007816ED">
            <w:r>
              <w:t>4</w:t>
            </w:r>
          </w:p>
        </w:tc>
      </w:tr>
      <w:tr w:rsidR="00C5757D" w14:paraId="0BC5472D" w14:textId="77777777">
        <w:tc>
          <w:tcPr>
            <w:tcW w:w="6912" w:type="dxa"/>
            <w:tcBorders>
              <w:left w:val="single" w:sz="12" w:space="0" w:color="auto"/>
            </w:tcBorders>
            <w:shd w:val="clear" w:color="auto" w:fill="auto"/>
          </w:tcPr>
          <w:p w14:paraId="411C0A6C" w14:textId="77777777" w:rsidR="00C5757D" w:rsidRDefault="00C5757D" w:rsidP="007816ED">
            <w:r>
              <w:t>Samenhang tussen inhoudelijke en financiële rapportages</w:t>
            </w:r>
          </w:p>
        </w:tc>
        <w:tc>
          <w:tcPr>
            <w:tcW w:w="955" w:type="dxa"/>
            <w:tcBorders>
              <w:right w:val="single" w:sz="12" w:space="0" w:color="auto"/>
            </w:tcBorders>
            <w:shd w:val="clear" w:color="auto" w:fill="auto"/>
          </w:tcPr>
          <w:p w14:paraId="6BC8A741" w14:textId="77777777" w:rsidR="00C5757D" w:rsidRDefault="00C5757D" w:rsidP="007816ED">
            <w:r>
              <w:t>4</w:t>
            </w:r>
          </w:p>
        </w:tc>
      </w:tr>
      <w:tr w:rsidR="00C5757D" w:rsidRPr="00EA0AA8" w14:paraId="0EE2B86D" w14:textId="77777777">
        <w:tc>
          <w:tcPr>
            <w:tcW w:w="6912" w:type="dxa"/>
            <w:tcBorders>
              <w:top w:val="single" w:sz="12" w:space="0" w:color="auto"/>
              <w:left w:val="single" w:sz="12" w:space="0" w:color="auto"/>
              <w:bottom w:val="single" w:sz="12" w:space="0" w:color="auto"/>
            </w:tcBorders>
            <w:shd w:val="clear" w:color="auto" w:fill="D0CECE"/>
          </w:tcPr>
          <w:p w14:paraId="2A4845D1" w14:textId="77777777" w:rsidR="00C5757D" w:rsidRPr="00EA0AA8" w:rsidRDefault="00C5757D" w:rsidP="007816ED">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31AB2CCE" w14:textId="77777777" w:rsidR="00C5757D" w:rsidRPr="00EA0AA8" w:rsidRDefault="00C5757D" w:rsidP="007816ED">
            <w:pPr>
              <w:rPr>
                <w:b/>
              </w:rPr>
            </w:pPr>
            <w:r>
              <w:rPr>
                <w:b/>
              </w:rPr>
              <w:t>4</w:t>
            </w:r>
          </w:p>
        </w:tc>
      </w:tr>
    </w:tbl>
    <w:p w14:paraId="2AC9DC0E" w14:textId="77777777" w:rsidR="00C5757D" w:rsidRDefault="00C5757D" w:rsidP="007816ED"/>
    <w:p w14:paraId="1D0BD03E" w14:textId="4F70F823" w:rsidR="00C5757D" w:rsidRDefault="00C5757D" w:rsidP="00BC3A3B">
      <w:pPr>
        <w:ind w:firstLine="227"/>
      </w:pPr>
      <w:r w:rsidRPr="00193994">
        <w:t>Ver</w:t>
      </w:r>
      <w:r>
        <w:t>andering sinds 2015: neutraal</w:t>
      </w:r>
      <w:r w:rsidRPr="00193994">
        <w:t xml:space="preserve"> = </w:t>
      </w:r>
      <w:r w:rsidRPr="00193994">
        <w:sym w:font="Wingdings" w:char="F0E8"/>
      </w:r>
    </w:p>
    <w:p w14:paraId="3BEC398C" w14:textId="77777777" w:rsidR="00BC3A3B" w:rsidRPr="003B07D8" w:rsidRDefault="00BC3A3B" w:rsidP="00BC3A3B">
      <w:pPr>
        <w:ind w:firstLine="227"/>
        <w:rPr>
          <w:b/>
        </w:rPr>
      </w:pPr>
    </w:p>
    <w:p w14:paraId="6DA57B62" w14:textId="2379D1A5" w:rsidR="00C5757D" w:rsidRDefault="00C5757D" w:rsidP="002D1811">
      <w:pPr>
        <w:pStyle w:val="Heading2"/>
        <w:tabs>
          <w:tab w:val="left" w:pos="-1162"/>
          <w:tab w:val="left" w:pos="0"/>
          <w:tab w:val="num" w:pos="1160"/>
        </w:tabs>
        <w:spacing w:line="240" w:lineRule="auto"/>
        <w:ind w:hanging="1162"/>
      </w:pPr>
      <w:bookmarkStart w:id="55" w:name="_Toc484612355"/>
      <w:bookmarkStart w:id="56" w:name="_Toc491439920"/>
      <w:r>
        <w:t>4.8</w:t>
      </w:r>
      <w:r w:rsidRPr="004D372F">
        <w:t xml:space="preserve"> </w:t>
      </w:r>
      <w:r w:rsidR="00B91E2D">
        <w:tab/>
        <w:t>Kosten</w:t>
      </w:r>
      <w:bookmarkEnd w:id="55"/>
      <w:r w:rsidR="00887CD1">
        <w:t>reductie</w:t>
      </w:r>
      <w:bookmarkEnd w:id="56"/>
    </w:p>
    <w:p w14:paraId="007B567E" w14:textId="6F0C4641" w:rsidR="00C5757D" w:rsidRDefault="00C5757D" w:rsidP="0075659C">
      <w:r w:rsidRPr="0075659C">
        <w:t xml:space="preserve">De nieuwe benadering van budgettering </w:t>
      </w:r>
      <w:r>
        <w:t>(</w:t>
      </w:r>
      <w:r w:rsidRPr="0075659C">
        <w:t>het “W”-proces</w:t>
      </w:r>
      <w:r>
        <w:t>)</w:t>
      </w:r>
      <w:r w:rsidRPr="0075659C">
        <w:t xml:space="preserve"> </w:t>
      </w:r>
      <w:r>
        <w:t xml:space="preserve">inclusief het instellen van </w:t>
      </w:r>
      <w:r w:rsidRPr="001E6B30">
        <w:rPr>
          <w:i/>
        </w:rPr>
        <w:t>benchmarks</w:t>
      </w:r>
      <w:r>
        <w:t xml:space="preserve"> (zogenoemde de </w:t>
      </w:r>
      <w:r w:rsidRPr="00DF131E">
        <w:rPr>
          <w:i/>
        </w:rPr>
        <w:t xml:space="preserve">budget </w:t>
      </w:r>
      <w:proofErr w:type="spellStart"/>
      <w:r w:rsidRPr="00DF131E">
        <w:rPr>
          <w:i/>
        </w:rPr>
        <w:t>anchors</w:t>
      </w:r>
      <w:proofErr w:type="spellEnd"/>
      <w:r w:rsidRPr="001E6B30">
        <w:t>)</w:t>
      </w:r>
      <w:r>
        <w:t xml:space="preserve"> </w:t>
      </w:r>
      <w:r w:rsidRPr="0075659C">
        <w:t xml:space="preserve">– heeft tot doel om ervoor te zorgen dat zo </w:t>
      </w:r>
      <w:r>
        <w:t>effectief en efficiënt</w:t>
      </w:r>
      <w:r w:rsidRPr="0075659C">
        <w:t xml:space="preserve"> mogelijk gebruik wordt gemaakt van de beperkte middelen. Deze middelen worden toegewezen door middel van duidelijke, </w:t>
      </w:r>
      <w:r>
        <w:t xml:space="preserve">vereenvoudigde, </w:t>
      </w:r>
      <w:r w:rsidRPr="0075659C">
        <w:t xml:space="preserve">transparante en voorspelbare systemen. </w:t>
      </w:r>
      <w:r w:rsidRPr="00DF131E">
        <w:t>Deze maatregelen li</w:t>
      </w:r>
      <w:r>
        <w:t>jken hun vruchten af te werpen.</w:t>
      </w:r>
    </w:p>
    <w:p w14:paraId="16B1C4DE" w14:textId="77777777" w:rsidR="00C5757D" w:rsidRDefault="00C5757D" w:rsidP="0075659C"/>
    <w:p w14:paraId="3CDA28C1" w14:textId="656092A8" w:rsidR="00C5757D" w:rsidRDefault="00C5757D" w:rsidP="0066064F">
      <w:r>
        <w:t xml:space="preserve">Aangespoord door Nederland en andere aandeelhouders maakt de Bank steeds efficiënter gebruik van het bestaande IBRD-aandelenkapitaal en IDA- kapitaal, uiteraard met inachtneming van een prudent risicoraamwerk ter bescherming van de </w:t>
      </w:r>
      <w:r w:rsidRPr="00C00DA7">
        <w:rPr>
          <w:i/>
        </w:rPr>
        <w:t>triple-A</w:t>
      </w:r>
      <w:r>
        <w:t xml:space="preserve"> status. Van Nederland moet de Bank zich steeds meer positioneren als katalysator (</w:t>
      </w:r>
      <w:r w:rsidRPr="00E406BE">
        <w:rPr>
          <w:i/>
        </w:rPr>
        <w:t>multiplier</w:t>
      </w:r>
      <w:r>
        <w:t xml:space="preserve">) voor ontwikkelingsfinanciering en daarbij inzetten op het aantrekken van private financieringsstromen en het vergroten van de publieke inkomsten door de klantlanden zelf (uitvoering geven aan de </w:t>
      </w:r>
      <w:proofErr w:type="spellStart"/>
      <w:r w:rsidRPr="00E406BE">
        <w:rPr>
          <w:i/>
        </w:rPr>
        <w:t>Billions</w:t>
      </w:r>
      <w:proofErr w:type="spellEnd"/>
      <w:r w:rsidRPr="00E406BE">
        <w:rPr>
          <w:i/>
        </w:rPr>
        <w:t xml:space="preserve"> </w:t>
      </w:r>
      <w:proofErr w:type="spellStart"/>
      <w:r w:rsidRPr="00E406BE">
        <w:rPr>
          <w:i/>
        </w:rPr>
        <w:t>to</w:t>
      </w:r>
      <w:proofErr w:type="spellEnd"/>
      <w:r w:rsidRPr="00E406BE">
        <w:rPr>
          <w:i/>
        </w:rPr>
        <w:t xml:space="preserve"> </w:t>
      </w:r>
      <w:proofErr w:type="spellStart"/>
      <w:r w:rsidRPr="00E406BE">
        <w:rPr>
          <w:i/>
        </w:rPr>
        <w:t>Trillions</w:t>
      </w:r>
      <w:proofErr w:type="spellEnd"/>
      <w:r w:rsidRPr="00E406BE">
        <w:rPr>
          <w:i/>
        </w:rPr>
        <w:t xml:space="preserve"> agenda</w:t>
      </w:r>
      <w:r>
        <w:t>). Zowel d</w:t>
      </w:r>
      <w:r w:rsidRPr="00AE45CB">
        <w:t xml:space="preserve">e </w:t>
      </w:r>
      <w:proofErr w:type="spellStart"/>
      <w:r w:rsidRPr="00AE45CB">
        <w:rPr>
          <w:i/>
        </w:rPr>
        <w:t>cost-to-income</w:t>
      </w:r>
      <w:proofErr w:type="spellEnd"/>
      <w:r w:rsidRPr="00AE45CB">
        <w:rPr>
          <w:i/>
        </w:rPr>
        <w:t xml:space="preserve"> ratio</w:t>
      </w:r>
      <w:r>
        <w:t xml:space="preserve"> als de administratieve kosten van de IBRD is in vergelijking tot de andere ontwikkelingsbanken en het gemiddelde relatief hoog. Dit is deels verklaarbaar door het feit dat de Bank </w:t>
      </w:r>
      <w:r w:rsidRPr="0019069B">
        <w:t xml:space="preserve">hogere kosten </w:t>
      </w:r>
      <w:r>
        <w:t xml:space="preserve">maakt </w:t>
      </w:r>
      <w:r w:rsidRPr="0019069B">
        <w:t xml:space="preserve">dan andere banken </w:t>
      </w:r>
      <w:r>
        <w:t>voor de ontwikkeling van</w:t>
      </w:r>
      <w:r w:rsidRPr="0019069B">
        <w:t xml:space="preserve"> kennisproducten die geen </w:t>
      </w:r>
      <w:r>
        <w:t>geld opleveren maar wel van waarde zijn voor ontwikkeling.</w:t>
      </w:r>
    </w:p>
    <w:p w14:paraId="185A4A9F" w14:textId="77777777" w:rsidR="00C5757D" w:rsidRDefault="00C5757D" w:rsidP="0066064F"/>
    <w:p w14:paraId="5AED711B" w14:textId="5364CD97" w:rsidR="00C5757D" w:rsidRPr="00232DB2" w:rsidRDefault="00232DB2" w:rsidP="00232DB2">
      <w:r w:rsidRPr="00232DB2">
        <w:t>De inzet van het kabinet is om de salarissen van internationale organisaties te versoberen en te moderniseren. In algemene zin kan worden vastgesteld dat thans de netto salarissen en pensioenen voor ambtenaren van internationale organisaties vergeleken met nationale salarissen hoog zijn. Arbeidsvoorwaarden moeten in lijn zijn met het (semi-)publieke karakter van de instelling en de sector waarin de instelling opereert, concurrerend voor de doelgroep, en gericht op mobiliteit en flexibiliteit van medewerkers.</w:t>
      </w:r>
      <w:r w:rsidR="006D45A6" w:rsidRPr="00573AF4">
        <w:t xml:space="preserve"> </w:t>
      </w:r>
    </w:p>
    <w:p w14:paraId="6218ED40" w14:textId="5D7D4622" w:rsidR="00C5757D" w:rsidRDefault="00C5757D" w:rsidP="007816ED"/>
    <w:p w14:paraId="29F88103" w14:textId="13F2C759" w:rsidR="00E671F4" w:rsidRDefault="00E671F4" w:rsidP="007816ED"/>
    <w:p w14:paraId="63D66EE2" w14:textId="20BE8E73" w:rsidR="00E671F4" w:rsidRDefault="00E671F4" w:rsidP="007816ED"/>
    <w:p w14:paraId="496B828E" w14:textId="74E83C81" w:rsidR="00E671F4" w:rsidRDefault="00E671F4" w:rsidP="007816ED"/>
    <w:p w14:paraId="0C66190D" w14:textId="2C13BEF3" w:rsidR="00E671F4" w:rsidRDefault="00E671F4" w:rsidP="007816ED"/>
    <w:p w14:paraId="0C912C39" w14:textId="77777777" w:rsidR="00E671F4" w:rsidRPr="00382AE3" w:rsidRDefault="00E671F4" w:rsidP="007816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C5757D" w:rsidRPr="00EA0AA8" w14:paraId="17971A52" w14:textId="77777777">
        <w:tc>
          <w:tcPr>
            <w:tcW w:w="6912" w:type="dxa"/>
            <w:tcBorders>
              <w:top w:val="single" w:sz="12" w:space="0" w:color="auto"/>
              <w:left w:val="single" w:sz="12" w:space="0" w:color="auto"/>
              <w:bottom w:val="single" w:sz="12" w:space="0" w:color="auto"/>
            </w:tcBorders>
            <w:shd w:val="clear" w:color="auto" w:fill="D0CECE"/>
          </w:tcPr>
          <w:p w14:paraId="7152A549" w14:textId="77777777" w:rsidR="00C5757D" w:rsidRPr="00EA0AA8" w:rsidRDefault="00C5757D" w:rsidP="007816ED">
            <w:pPr>
              <w:rPr>
                <w:b/>
              </w:rPr>
            </w:pPr>
            <w:r w:rsidRPr="00EA0AA8">
              <w:rPr>
                <w:b/>
              </w:rPr>
              <w:lastRenderedPageBreak/>
              <w:t>Onderdeel</w:t>
            </w:r>
          </w:p>
        </w:tc>
        <w:tc>
          <w:tcPr>
            <w:tcW w:w="955" w:type="dxa"/>
            <w:tcBorders>
              <w:top w:val="single" w:sz="12" w:space="0" w:color="auto"/>
              <w:bottom w:val="single" w:sz="12" w:space="0" w:color="auto"/>
              <w:right w:val="single" w:sz="12" w:space="0" w:color="auto"/>
            </w:tcBorders>
            <w:shd w:val="clear" w:color="auto" w:fill="D0CECE"/>
          </w:tcPr>
          <w:p w14:paraId="0A9BD716" w14:textId="77777777" w:rsidR="00C5757D" w:rsidRPr="00EA0AA8" w:rsidRDefault="00C5757D" w:rsidP="007816ED">
            <w:pPr>
              <w:rPr>
                <w:b/>
              </w:rPr>
            </w:pPr>
            <w:r w:rsidRPr="00EA0AA8">
              <w:rPr>
                <w:b/>
              </w:rPr>
              <w:t>Score</w:t>
            </w:r>
          </w:p>
        </w:tc>
      </w:tr>
      <w:tr w:rsidR="00C5757D" w14:paraId="431DDF8A" w14:textId="77777777">
        <w:tc>
          <w:tcPr>
            <w:tcW w:w="6912" w:type="dxa"/>
            <w:tcBorders>
              <w:top w:val="single" w:sz="12" w:space="0" w:color="auto"/>
              <w:left w:val="single" w:sz="12" w:space="0" w:color="auto"/>
            </w:tcBorders>
            <w:shd w:val="clear" w:color="auto" w:fill="auto"/>
          </w:tcPr>
          <w:p w14:paraId="1AD97F87" w14:textId="77777777" w:rsidR="00C5757D" w:rsidRDefault="00C5757D" w:rsidP="007816ED">
            <w:r>
              <w:t>Verhouding programma-uitgaven/overhead</w:t>
            </w:r>
          </w:p>
        </w:tc>
        <w:tc>
          <w:tcPr>
            <w:tcW w:w="955" w:type="dxa"/>
            <w:tcBorders>
              <w:top w:val="single" w:sz="12" w:space="0" w:color="auto"/>
              <w:right w:val="single" w:sz="12" w:space="0" w:color="auto"/>
            </w:tcBorders>
            <w:shd w:val="clear" w:color="auto" w:fill="auto"/>
          </w:tcPr>
          <w:p w14:paraId="24FE1950" w14:textId="77777777" w:rsidR="00C5757D" w:rsidRDefault="00C5757D" w:rsidP="007816ED">
            <w:r>
              <w:t>3</w:t>
            </w:r>
          </w:p>
        </w:tc>
      </w:tr>
      <w:tr w:rsidR="00C5757D" w14:paraId="29449DA8" w14:textId="77777777">
        <w:tc>
          <w:tcPr>
            <w:tcW w:w="6912" w:type="dxa"/>
            <w:tcBorders>
              <w:left w:val="single" w:sz="12" w:space="0" w:color="auto"/>
            </w:tcBorders>
            <w:shd w:val="clear" w:color="auto" w:fill="auto"/>
          </w:tcPr>
          <w:p w14:paraId="6C1583ED" w14:textId="77777777" w:rsidR="00C5757D" w:rsidRDefault="00C5757D" w:rsidP="007816ED">
            <w:r>
              <w:t>Kosteneffectiviteit programma’s</w:t>
            </w:r>
          </w:p>
        </w:tc>
        <w:tc>
          <w:tcPr>
            <w:tcW w:w="955" w:type="dxa"/>
            <w:tcBorders>
              <w:right w:val="single" w:sz="12" w:space="0" w:color="auto"/>
            </w:tcBorders>
            <w:shd w:val="clear" w:color="auto" w:fill="auto"/>
          </w:tcPr>
          <w:p w14:paraId="1073104A" w14:textId="77777777" w:rsidR="00C5757D" w:rsidRDefault="00C5757D" w:rsidP="007816ED">
            <w:r>
              <w:t>3</w:t>
            </w:r>
          </w:p>
        </w:tc>
      </w:tr>
      <w:tr w:rsidR="00C5757D" w14:paraId="580DE851" w14:textId="77777777">
        <w:tc>
          <w:tcPr>
            <w:tcW w:w="6912" w:type="dxa"/>
            <w:tcBorders>
              <w:left w:val="single" w:sz="12" w:space="0" w:color="auto"/>
            </w:tcBorders>
            <w:shd w:val="clear" w:color="auto" w:fill="auto"/>
          </w:tcPr>
          <w:p w14:paraId="48610767" w14:textId="77777777" w:rsidR="00C5757D" w:rsidRDefault="00C5757D" w:rsidP="007816ED">
            <w:r>
              <w:t>Versobering salarissen en secundaire arbeidsvoorwaarden</w:t>
            </w:r>
          </w:p>
        </w:tc>
        <w:tc>
          <w:tcPr>
            <w:tcW w:w="955" w:type="dxa"/>
            <w:tcBorders>
              <w:right w:val="single" w:sz="12" w:space="0" w:color="auto"/>
            </w:tcBorders>
            <w:shd w:val="clear" w:color="auto" w:fill="auto"/>
          </w:tcPr>
          <w:p w14:paraId="4D65DE4C" w14:textId="77777777" w:rsidR="00C5757D" w:rsidRDefault="00C5757D" w:rsidP="007816ED">
            <w:r>
              <w:t>2</w:t>
            </w:r>
          </w:p>
        </w:tc>
      </w:tr>
      <w:tr w:rsidR="00C5757D" w:rsidRPr="00EA0AA8" w14:paraId="1A4DE207" w14:textId="77777777">
        <w:tc>
          <w:tcPr>
            <w:tcW w:w="6912" w:type="dxa"/>
            <w:tcBorders>
              <w:top w:val="single" w:sz="12" w:space="0" w:color="auto"/>
              <w:left w:val="single" w:sz="12" w:space="0" w:color="auto"/>
              <w:bottom w:val="single" w:sz="12" w:space="0" w:color="auto"/>
            </w:tcBorders>
            <w:shd w:val="clear" w:color="auto" w:fill="D0CECE"/>
          </w:tcPr>
          <w:p w14:paraId="28965C0B" w14:textId="77777777" w:rsidR="00C5757D" w:rsidRPr="00EA0AA8" w:rsidRDefault="00C5757D" w:rsidP="007816ED">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2B55EC10" w14:textId="77777777" w:rsidR="00C5757D" w:rsidRPr="00EA0AA8" w:rsidRDefault="00C5757D" w:rsidP="007816ED">
            <w:pPr>
              <w:rPr>
                <w:b/>
              </w:rPr>
            </w:pPr>
            <w:r>
              <w:rPr>
                <w:b/>
              </w:rPr>
              <w:t>3</w:t>
            </w:r>
          </w:p>
        </w:tc>
      </w:tr>
    </w:tbl>
    <w:p w14:paraId="38E4F392" w14:textId="77777777" w:rsidR="00C5757D" w:rsidRDefault="00C5757D" w:rsidP="007816ED"/>
    <w:p w14:paraId="4260F763" w14:textId="2476C75B" w:rsidR="00C5757D" w:rsidRDefault="00C5757D" w:rsidP="00BC3A3B">
      <w:pPr>
        <w:ind w:firstLine="227"/>
      </w:pPr>
      <w:r w:rsidRPr="00193994">
        <w:t>Ver</w:t>
      </w:r>
      <w:r>
        <w:t>andering sinds 2015: positief</w:t>
      </w:r>
      <w:r w:rsidRPr="00193994">
        <w:t xml:space="preserve"> =  </w:t>
      </w:r>
      <w:r w:rsidRPr="00193994">
        <w:sym w:font="Wingdings" w:char="F0E9"/>
      </w:r>
    </w:p>
    <w:p w14:paraId="7BCAC605" w14:textId="77777777" w:rsidR="00BC3A3B" w:rsidRPr="008517DE" w:rsidRDefault="00BC3A3B" w:rsidP="00BC3A3B">
      <w:pPr>
        <w:ind w:firstLine="227"/>
      </w:pPr>
    </w:p>
    <w:p w14:paraId="0FBF3AD8" w14:textId="39B973EF" w:rsidR="00C5757D" w:rsidRDefault="00C5757D" w:rsidP="002D1811">
      <w:pPr>
        <w:pStyle w:val="Heading2"/>
        <w:tabs>
          <w:tab w:val="left" w:pos="-1162"/>
          <w:tab w:val="left" w:pos="0"/>
          <w:tab w:val="num" w:pos="1160"/>
        </w:tabs>
        <w:spacing w:line="240" w:lineRule="auto"/>
        <w:ind w:hanging="1162"/>
      </w:pPr>
      <w:bookmarkStart w:id="57" w:name="_Toc484612356"/>
      <w:bookmarkStart w:id="58" w:name="_Toc491439921"/>
      <w:r>
        <w:t>4.9</w:t>
      </w:r>
      <w:r w:rsidRPr="004D372F">
        <w:t xml:space="preserve"> </w:t>
      </w:r>
      <w:r>
        <w:tab/>
      </w:r>
      <w:r w:rsidRPr="004D372F">
        <w:t>Corruptiebestrijding</w:t>
      </w:r>
      <w:bookmarkEnd w:id="57"/>
      <w:bookmarkEnd w:id="58"/>
      <w:r>
        <w:t xml:space="preserve"> </w:t>
      </w:r>
    </w:p>
    <w:p w14:paraId="3641309C" w14:textId="77777777" w:rsidR="00C5757D" w:rsidRDefault="00C5757D" w:rsidP="00212839">
      <w:pPr>
        <w:spacing w:beforeLines="1" w:before="2" w:afterLines="1" w:after="2" w:line="240" w:lineRule="auto"/>
        <w:rPr>
          <w:szCs w:val="18"/>
        </w:rPr>
      </w:pPr>
      <w:r w:rsidRPr="003055C3">
        <w:rPr>
          <w:szCs w:val="18"/>
        </w:rPr>
        <w:t>Het anti-c</w:t>
      </w:r>
      <w:r>
        <w:rPr>
          <w:szCs w:val="18"/>
        </w:rPr>
        <w:t>orruptiebeleid van de Bank</w:t>
      </w:r>
      <w:r w:rsidRPr="003055C3">
        <w:rPr>
          <w:szCs w:val="18"/>
        </w:rPr>
        <w:t xml:space="preserve"> is gericht op corruptiebestrijding in klantlanden en binnen de interne organisatie. Het </w:t>
      </w:r>
      <w:proofErr w:type="spellStart"/>
      <w:r w:rsidRPr="003055C3">
        <w:rPr>
          <w:i/>
          <w:szCs w:val="18"/>
        </w:rPr>
        <w:t>Department</w:t>
      </w:r>
      <w:proofErr w:type="spellEnd"/>
      <w:r w:rsidRPr="003055C3">
        <w:rPr>
          <w:i/>
          <w:szCs w:val="18"/>
        </w:rPr>
        <w:t xml:space="preserve"> </w:t>
      </w:r>
      <w:proofErr w:type="spellStart"/>
      <w:r w:rsidRPr="003055C3">
        <w:rPr>
          <w:i/>
          <w:szCs w:val="18"/>
        </w:rPr>
        <w:t>for</w:t>
      </w:r>
      <w:proofErr w:type="spellEnd"/>
      <w:r w:rsidRPr="003055C3">
        <w:rPr>
          <w:i/>
          <w:szCs w:val="18"/>
        </w:rPr>
        <w:t xml:space="preserve"> Corporate </w:t>
      </w:r>
      <w:proofErr w:type="spellStart"/>
      <w:r w:rsidRPr="003055C3">
        <w:rPr>
          <w:i/>
          <w:szCs w:val="18"/>
        </w:rPr>
        <w:t>Integrity</w:t>
      </w:r>
      <w:proofErr w:type="spellEnd"/>
      <w:r w:rsidRPr="003055C3">
        <w:rPr>
          <w:szCs w:val="18"/>
        </w:rPr>
        <w:t xml:space="preserve"> (INT) is het meldpunt voor de gehele WBG. Hier kunnen anoniem klachten over mogelijke corruptie of niet-integer handelen van medew</w:t>
      </w:r>
      <w:r>
        <w:rPr>
          <w:szCs w:val="18"/>
        </w:rPr>
        <w:t>erkers worden ingediend (klokken</w:t>
      </w:r>
      <w:r w:rsidRPr="003055C3">
        <w:rPr>
          <w:szCs w:val="18"/>
        </w:rPr>
        <w:t xml:space="preserve">luidersregeling). INT onderzoekt deze aanklachten en legt de resultaten voor aan de president van de Bank. Daarnaast vormen auditrapporten </w:t>
      </w:r>
      <w:proofErr w:type="spellStart"/>
      <w:r w:rsidRPr="003055C3">
        <w:rPr>
          <w:szCs w:val="18"/>
        </w:rPr>
        <w:t>één</w:t>
      </w:r>
      <w:proofErr w:type="spellEnd"/>
      <w:r w:rsidRPr="003055C3">
        <w:rPr>
          <w:szCs w:val="18"/>
        </w:rPr>
        <w:t xml:space="preserve"> van de bronnen voor de beoordeling van rechtmatigheid- en </w:t>
      </w:r>
      <w:proofErr w:type="spellStart"/>
      <w:r w:rsidRPr="003055C3">
        <w:rPr>
          <w:szCs w:val="18"/>
        </w:rPr>
        <w:t>doelmatigheidrisico’s</w:t>
      </w:r>
      <w:proofErr w:type="spellEnd"/>
      <w:r w:rsidRPr="003055C3">
        <w:rPr>
          <w:szCs w:val="18"/>
        </w:rPr>
        <w:t xml:space="preserve">. In gevallen van door INT vastgesteld slecht financieel beheer en fraude </w:t>
      </w:r>
      <w:r>
        <w:rPr>
          <w:szCs w:val="18"/>
        </w:rPr>
        <w:t>beslist het management van de Bank</w:t>
      </w:r>
      <w:r w:rsidRPr="003055C3">
        <w:rPr>
          <w:szCs w:val="18"/>
        </w:rPr>
        <w:t xml:space="preserve"> na raadpleging van de Raad van Bewindvoerders of de modaliteiten van samenwerking met landen vanwege corruptie moeten worden veranderd. Functionarissen ontvangen duidelijke richtlijnen hoe met corruptie om te gaan. </w:t>
      </w:r>
    </w:p>
    <w:p w14:paraId="7DF296BA" w14:textId="77777777" w:rsidR="00C5757D" w:rsidRPr="003055C3" w:rsidRDefault="00C5757D" w:rsidP="00212839">
      <w:pPr>
        <w:spacing w:beforeLines="1" w:before="2" w:afterLines="1" w:after="2" w:line="240" w:lineRule="auto"/>
        <w:rPr>
          <w:szCs w:val="18"/>
        </w:rPr>
      </w:pPr>
    </w:p>
    <w:p w14:paraId="5E8D5767" w14:textId="43B35B8B" w:rsidR="007816ED" w:rsidRPr="003055C3" w:rsidRDefault="00C5757D" w:rsidP="00212839">
      <w:pPr>
        <w:spacing w:beforeLines="1" w:before="2" w:afterLines="1" w:after="2" w:line="240" w:lineRule="auto"/>
        <w:rPr>
          <w:sz w:val="20"/>
          <w:szCs w:val="20"/>
        </w:rPr>
      </w:pPr>
      <w:r w:rsidRPr="003055C3">
        <w:rPr>
          <w:szCs w:val="18"/>
        </w:rPr>
        <w:t>INT publiceert jaarlijks een rapport over de activiteiten in het afgelopen boekjaar en verzorgt trainingen aan staf over corruptiebestrijding. In boekjaar 201</w:t>
      </w:r>
      <w:r>
        <w:rPr>
          <w:szCs w:val="18"/>
        </w:rPr>
        <w:t>6</w:t>
      </w:r>
      <w:r w:rsidRPr="003055C3">
        <w:rPr>
          <w:szCs w:val="18"/>
        </w:rPr>
        <w:t xml:space="preserve"> </w:t>
      </w:r>
      <w:r w:rsidR="007816ED" w:rsidRPr="003055C3">
        <w:rPr>
          <w:szCs w:val="18"/>
        </w:rPr>
        <w:t xml:space="preserve">nam INT </w:t>
      </w:r>
      <w:r w:rsidR="00F10F02">
        <w:rPr>
          <w:szCs w:val="18"/>
        </w:rPr>
        <w:t>64</w:t>
      </w:r>
      <w:r w:rsidR="007816ED" w:rsidRPr="003055C3">
        <w:rPr>
          <w:szCs w:val="18"/>
        </w:rPr>
        <w:t xml:space="preserve"> (nieuwe) corruptiezaken in behandeling en produceerde </w:t>
      </w:r>
      <w:r w:rsidR="00F10F02">
        <w:rPr>
          <w:szCs w:val="18"/>
        </w:rPr>
        <w:t>het 35</w:t>
      </w:r>
      <w:r w:rsidR="007816ED" w:rsidRPr="003055C3">
        <w:rPr>
          <w:szCs w:val="18"/>
        </w:rPr>
        <w:t xml:space="preserve"> </w:t>
      </w:r>
      <w:proofErr w:type="spellStart"/>
      <w:r w:rsidR="007816ED" w:rsidRPr="003055C3">
        <w:rPr>
          <w:i/>
          <w:szCs w:val="18"/>
        </w:rPr>
        <w:t>Final</w:t>
      </w:r>
      <w:proofErr w:type="spellEnd"/>
      <w:r w:rsidR="007816ED" w:rsidRPr="003055C3">
        <w:rPr>
          <w:i/>
          <w:szCs w:val="18"/>
        </w:rPr>
        <w:t xml:space="preserve"> </w:t>
      </w:r>
      <w:proofErr w:type="spellStart"/>
      <w:r w:rsidR="007816ED" w:rsidRPr="003055C3">
        <w:rPr>
          <w:i/>
          <w:szCs w:val="18"/>
        </w:rPr>
        <w:t>Investigation</w:t>
      </w:r>
      <w:proofErr w:type="spellEnd"/>
      <w:r w:rsidR="007816ED" w:rsidRPr="003055C3">
        <w:rPr>
          <w:i/>
          <w:szCs w:val="18"/>
        </w:rPr>
        <w:t xml:space="preserve"> </w:t>
      </w:r>
      <w:proofErr w:type="spellStart"/>
      <w:r w:rsidR="007816ED" w:rsidRPr="003055C3">
        <w:rPr>
          <w:i/>
          <w:szCs w:val="18"/>
        </w:rPr>
        <w:t>Reports</w:t>
      </w:r>
      <w:proofErr w:type="spellEnd"/>
      <w:r w:rsidR="007816ED" w:rsidRPr="003055C3">
        <w:rPr>
          <w:szCs w:val="18"/>
        </w:rPr>
        <w:t xml:space="preserve"> (48 in 2012). Deze rapportages worden niet alleen opgesteld indien fraude en corruptie kan worden aangetoond, maar ook wanneer er waardevolle lessen getrokken kunnen worden uit specifieke zaken.</w:t>
      </w:r>
    </w:p>
    <w:p w14:paraId="6F5EF1BE" w14:textId="77777777" w:rsidR="007816ED" w:rsidRDefault="007816ED" w:rsidP="007816ED">
      <w:pPr>
        <w:rPr>
          <w:szCs w:val="18"/>
        </w:rPr>
      </w:pPr>
      <w:r>
        <w:rPr>
          <w:szCs w:val="18"/>
        </w:rPr>
        <w:t>De Bank</w:t>
      </w:r>
      <w:r w:rsidRPr="003055C3">
        <w:rPr>
          <w:szCs w:val="18"/>
        </w:rPr>
        <w:t xml:space="preserve"> is voortrekker van de </w:t>
      </w:r>
      <w:r w:rsidRPr="003055C3">
        <w:rPr>
          <w:i/>
          <w:szCs w:val="18"/>
        </w:rPr>
        <w:t xml:space="preserve">International </w:t>
      </w:r>
      <w:proofErr w:type="spellStart"/>
      <w:r w:rsidRPr="003055C3">
        <w:rPr>
          <w:i/>
          <w:szCs w:val="18"/>
        </w:rPr>
        <w:t>Corruption</w:t>
      </w:r>
      <w:proofErr w:type="spellEnd"/>
      <w:r w:rsidRPr="003055C3">
        <w:rPr>
          <w:i/>
          <w:szCs w:val="18"/>
        </w:rPr>
        <w:t xml:space="preserve"> </w:t>
      </w:r>
      <w:proofErr w:type="spellStart"/>
      <w:r w:rsidRPr="003055C3">
        <w:rPr>
          <w:i/>
          <w:szCs w:val="18"/>
        </w:rPr>
        <w:t>Hunters</w:t>
      </w:r>
      <w:proofErr w:type="spellEnd"/>
      <w:r w:rsidRPr="003055C3">
        <w:rPr>
          <w:i/>
          <w:szCs w:val="18"/>
        </w:rPr>
        <w:t xml:space="preserve"> Alliance</w:t>
      </w:r>
      <w:r w:rsidRPr="003055C3">
        <w:rPr>
          <w:szCs w:val="18"/>
        </w:rPr>
        <w:t xml:space="preserve">, waarin wereldwijd regeringen, openbaar aanklagers, en partners als bijvoorbeeld </w:t>
      </w:r>
      <w:proofErr w:type="spellStart"/>
      <w:r w:rsidRPr="00E406BE">
        <w:rPr>
          <w:i/>
          <w:szCs w:val="18"/>
        </w:rPr>
        <w:t>Serious</w:t>
      </w:r>
      <w:proofErr w:type="spellEnd"/>
      <w:r w:rsidRPr="00E406BE">
        <w:rPr>
          <w:i/>
          <w:szCs w:val="18"/>
        </w:rPr>
        <w:t xml:space="preserve"> </w:t>
      </w:r>
      <w:proofErr w:type="spellStart"/>
      <w:r w:rsidRPr="00E406BE">
        <w:rPr>
          <w:i/>
          <w:szCs w:val="18"/>
        </w:rPr>
        <w:t>Fraud</w:t>
      </w:r>
      <w:proofErr w:type="spellEnd"/>
      <w:r w:rsidRPr="00E406BE">
        <w:rPr>
          <w:i/>
          <w:szCs w:val="18"/>
        </w:rPr>
        <w:t xml:space="preserve"> Office </w:t>
      </w:r>
      <w:r w:rsidRPr="003055C3">
        <w:rPr>
          <w:szCs w:val="18"/>
        </w:rPr>
        <w:t>(</w:t>
      </w:r>
      <w:r w:rsidR="00625C19">
        <w:rPr>
          <w:szCs w:val="18"/>
        </w:rPr>
        <w:t>Verenigd Koninkrijk</w:t>
      </w:r>
      <w:r w:rsidRPr="003055C3">
        <w:rPr>
          <w:szCs w:val="18"/>
        </w:rPr>
        <w:t>), OLAF</w:t>
      </w:r>
      <w:r w:rsidR="00E406BE">
        <w:rPr>
          <w:szCs w:val="18"/>
        </w:rPr>
        <w:t xml:space="preserve"> (het Europese anti-corruptie bureau)</w:t>
      </w:r>
      <w:r w:rsidRPr="003055C3">
        <w:rPr>
          <w:szCs w:val="18"/>
        </w:rPr>
        <w:t xml:space="preserve">, het Europees Parlement, de Verenigde Naties, </w:t>
      </w:r>
      <w:proofErr w:type="spellStart"/>
      <w:r w:rsidRPr="00E406BE">
        <w:rPr>
          <w:i/>
          <w:szCs w:val="18"/>
        </w:rPr>
        <w:t>Department</w:t>
      </w:r>
      <w:proofErr w:type="spellEnd"/>
      <w:r w:rsidRPr="00E406BE">
        <w:rPr>
          <w:i/>
          <w:szCs w:val="18"/>
        </w:rPr>
        <w:t xml:space="preserve"> of </w:t>
      </w:r>
      <w:proofErr w:type="spellStart"/>
      <w:r w:rsidRPr="00E406BE">
        <w:rPr>
          <w:i/>
          <w:szCs w:val="18"/>
        </w:rPr>
        <w:t>Justice</w:t>
      </w:r>
      <w:proofErr w:type="spellEnd"/>
      <w:r w:rsidRPr="003055C3">
        <w:rPr>
          <w:szCs w:val="18"/>
        </w:rPr>
        <w:t xml:space="preserve"> (</w:t>
      </w:r>
      <w:r w:rsidR="00625C19" w:rsidRPr="003055C3">
        <w:rPr>
          <w:szCs w:val="18"/>
        </w:rPr>
        <w:t>V</w:t>
      </w:r>
      <w:r w:rsidR="00625C19">
        <w:rPr>
          <w:szCs w:val="18"/>
        </w:rPr>
        <w:t>erenigde Staten</w:t>
      </w:r>
      <w:r w:rsidRPr="003055C3">
        <w:rPr>
          <w:szCs w:val="18"/>
        </w:rPr>
        <w:t xml:space="preserve">), </w:t>
      </w:r>
      <w:r w:rsidR="00E406BE">
        <w:rPr>
          <w:szCs w:val="18"/>
        </w:rPr>
        <w:t>de OESO</w:t>
      </w:r>
      <w:r w:rsidRPr="003055C3">
        <w:rPr>
          <w:szCs w:val="18"/>
        </w:rPr>
        <w:t xml:space="preserve"> en Interpol, zijn verenigd. De alliantie richt zich op bestrijdin</w:t>
      </w:r>
      <w:r w:rsidR="00C00DA7">
        <w:rPr>
          <w:szCs w:val="18"/>
        </w:rPr>
        <w:t>g van corruptie door informatie-</w:t>
      </w:r>
      <w:r w:rsidRPr="003055C3">
        <w:rPr>
          <w:szCs w:val="18"/>
        </w:rPr>
        <w:t>uitwisseling en technologieontwikkeling</w:t>
      </w:r>
      <w:r>
        <w:rPr>
          <w:szCs w:val="18"/>
        </w:rPr>
        <w:t>.</w:t>
      </w:r>
    </w:p>
    <w:p w14:paraId="286CF25F" w14:textId="77777777" w:rsidR="007816ED" w:rsidRDefault="007816ED" w:rsidP="007816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7816ED" w:rsidRPr="00EA0AA8" w14:paraId="198778EF" w14:textId="77777777">
        <w:tc>
          <w:tcPr>
            <w:tcW w:w="6912" w:type="dxa"/>
            <w:tcBorders>
              <w:top w:val="single" w:sz="12" w:space="0" w:color="auto"/>
              <w:left w:val="single" w:sz="12" w:space="0" w:color="auto"/>
              <w:bottom w:val="single" w:sz="12" w:space="0" w:color="auto"/>
            </w:tcBorders>
            <w:shd w:val="clear" w:color="auto" w:fill="D0CECE"/>
          </w:tcPr>
          <w:p w14:paraId="769AF329" w14:textId="77777777" w:rsidR="007816ED" w:rsidRPr="00EA0AA8" w:rsidRDefault="007816ED" w:rsidP="007816ED">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316F6521" w14:textId="77777777" w:rsidR="007816ED" w:rsidRPr="00EA0AA8" w:rsidRDefault="007816ED" w:rsidP="007816ED">
            <w:pPr>
              <w:rPr>
                <w:b/>
              </w:rPr>
            </w:pPr>
            <w:r w:rsidRPr="00EA0AA8">
              <w:rPr>
                <w:b/>
              </w:rPr>
              <w:t>Score</w:t>
            </w:r>
          </w:p>
        </w:tc>
      </w:tr>
      <w:tr w:rsidR="007816ED" w14:paraId="56940145" w14:textId="77777777">
        <w:tc>
          <w:tcPr>
            <w:tcW w:w="6912" w:type="dxa"/>
            <w:tcBorders>
              <w:top w:val="single" w:sz="12" w:space="0" w:color="auto"/>
              <w:left w:val="single" w:sz="12" w:space="0" w:color="auto"/>
            </w:tcBorders>
            <w:shd w:val="clear" w:color="auto" w:fill="auto"/>
          </w:tcPr>
          <w:p w14:paraId="7D372969" w14:textId="77777777" w:rsidR="007816ED" w:rsidRDefault="007816ED" w:rsidP="007816ED">
            <w:r>
              <w:t>Maatregelen rechtmatigheidsrisico’s</w:t>
            </w:r>
          </w:p>
        </w:tc>
        <w:tc>
          <w:tcPr>
            <w:tcW w:w="955" w:type="dxa"/>
            <w:tcBorders>
              <w:top w:val="single" w:sz="12" w:space="0" w:color="auto"/>
              <w:right w:val="single" w:sz="12" w:space="0" w:color="auto"/>
            </w:tcBorders>
            <w:shd w:val="clear" w:color="auto" w:fill="auto"/>
          </w:tcPr>
          <w:p w14:paraId="483C9103" w14:textId="77777777" w:rsidR="007816ED" w:rsidRDefault="00074A05" w:rsidP="007816ED">
            <w:r>
              <w:t>4</w:t>
            </w:r>
          </w:p>
        </w:tc>
      </w:tr>
      <w:tr w:rsidR="007816ED" w14:paraId="0CB3C120" w14:textId="77777777">
        <w:tc>
          <w:tcPr>
            <w:tcW w:w="6912" w:type="dxa"/>
            <w:tcBorders>
              <w:left w:val="single" w:sz="12" w:space="0" w:color="auto"/>
            </w:tcBorders>
            <w:shd w:val="clear" w:color="auto" w:fill="auto"/>
          </w:tcPr>
          <w:p w14:paraId="0701A476" w14:textId="77777777" w:rsidR="007816ED" w:rsidRDefault="007816ED" w:rsidP="007816ED">
            <w:r>
              <w:t>Maatregelen doelmatigheidsrisico’s</w:t>
            </w:r>
          </w:p>
        </w:tc>
        <w:tc>
          <w:tcPr>
            <w:tcW w:w="955" w:type="dxa"/>
            <w:tcBorders>
              <w:right w:val="single" w:sz="12" w:space="0" w:color="auto"/>
            </w:tcBorders>
            <w:shd w:val="clear" w:color="auto" w:fill="auto"/>
          </w:tcPr>
          <w:p w14:paraId="650F0806" w14:textId="77777777" w:rsidR="007816ED" w:rsidRDefault="00074A05" w:rsidP="007816ED">
            <w:r>
              <w:t>4</w:t>
            </w:r>
          </w:p>
        </w:tc>
      </w:tr>
      <w:tr w:rsidR="007816ED" w14:paraId="79EF5F9F" w14:textId="77777777">
        <w:tc>
          <w:tcPr>
            <w:tcW w:w="6912" w:type="dxa"/>
            <w:tcBorders>
              <w:left w:val="single" w:sz="12" w:space="0" w:color="auto"/>
            </w:tcBorders>
            <w:shd w:val="clear" w:color="auto" w:fill="auto"/>
          </w:tcPr>
          <w:p w14:paraId="67048E29" w14:textId="77777777" w:rsidR="007816ED" w:rsidRDefault="007816ED" w:rsidP="007816ED">
            <w:r>
              <w:t xml:space="preserve">Anti-corruptiebeleid </w:t>
            </w:r>
          </w:p>
        </w:tc>
        <w:tc>
          <w:tcPr>
            <w:tcW w:w="955" w:type="dxa"/>
            <w:tcBorders>
              <w:right w:val="single" w:sz="12" w:space="0" w:color="auto"/>
            </w:tcBorders>
            <w:shd w:val="clear" w:color="auto" w:fill="auto"/>
          </w:tcPr>
          <w:p w14:paraId="34CEBB2C" w14:textId="77777777" w:rsidR="007816ED" w:rsidRDefault="00074A05" w:rsidP="007816ED">
            <w:r>
              <w:t>4</w:t>
            </w:r>
          </w:p>
        </w:tc>
      </w:tr>
      <w:tr w:rsidR="007816ED" w14:paraId="38A8B44B" w14:textId="77777777">
        <w:tc>
          <w:tcPr>
            <w:tcW w:w="6912" w:type="dxa"/>
            <w:tcBorders>
              <w:left w:val="single" w:sz="12" w:space="0" w:color="auto"/>
            </w:tcBorders>
            <w:shd w:val="clear" w:color="auto" w:fill="auto"/>
          </w:tcPr>
          <w:p w14:paraId="6F345264" w14:textId="77777777" w:rsidR="007816ED" w:rsidRDefault="007816ED" w:rsidP="007816ED">
            <w:r>
              <w:t>Transparantie integriteitsschendingen</w:t>
            </w:r>
          </w:p>
        </w:tc>
        <w:tc>
          <w:tcPr>
            <w:tcW w:w="955" w:type="dxa"/>
            <w:tcBorders>
              <w:right w:val="single" w:sz="12" w:space="0" w:color="auto"/>
            </w:tcBorders>
            <w:shd w:val="clear" w:color="auto" w:fill="auto"/>
          </w:tcPr>
          <w:p w14:paraId="4549BB71" w14:textId="77777777" w:rsidR="007816ED" w:rsidRDefault="00074A05" w:rsidP="007816ED">
            <w:r>
              <w:t>4</w:t>
            </w:r>
          </w:p>
        </w:tc>
      </w:tr>
      <w:tr w:rsidR="007816ED" w:rsidRPr="00EA0AA8" w14:paraId="63BFE952" w14:textId="77777777">
        <w:tc>
          <w:tcPr>
            <w:tcW w:w="6912" w:type="dxa"/>
            <w:tcBorders>
              <w:top w:val="single" w:sz="12" w:space="0" w:color="auto"/>
              <w:left w:val="single" w:sz="12" w:space="0" w:color="auto"/>
              <w:bottom w:val="single" w:sz="12" w:space="0" w:color="auto"/>
            </w:tcBorders>
            <w:shd w:val="clear" w:color="auto" w:fill="D0CECE"/>
          </w:tcPr>
          <w:p w14:paraId="3B197DB5" w14:textId="77777777" w:rsidR="007816ED" w:rsidRPr="00EA0AA8" w:rsidRDefault="007816ED" w:rsidP="007816ED">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5BF86823" w14:textId="77777777" w:rsidR="007816ED" w:rsidRPr="00EA0AA8" w:rsidRDefault="00074A05" w:rsidP="007816ED">
            <w:pPr>
              <w:rPr>
                <w:b/>
              </w:rPr>
            </w:pPr>
            <w:r>
              <w:rPr>
                <w:b/>
              </w:rPr>
              <w:t>4</w:t>
            </w:r>
          </w:p>
        </w:tc>
      </w:tr>
    </w:tbl>
    <w:p w14:paraId="5466CA20" w14:textId="77777777" w:rsidR="007816ED" w:rsidRDefault="007816ED" w:rsidP="007816ED"/>
    <w:p w14:paraId="06651794" w14:textId="77777777" w:rsidR="007816ED" w:rsidRPr="006A670C" w:rsidRDefault="007816ED" w:rsidP="00BC3A3B">
      <w:pPr>
        <w:ind w:firstLine="227"/>
      </w:pPr>
      <w:r w:rsidRPr="00193994">
        <w:t>Ver</w:t>
      </w:r>
      <w:r>
        <w:t>andering sinds 2015: neutraal</w:t>
      </w:r>
      <w:r w:rsidRPr="00193994">
        <w:t xml:space="preserve"> = </w:t>
      </w:r>
      <w:r w:rsidRPr="00193994">
        <w:sym w:font="Wingdings" w:char="F0E8"/>
      </w:r>
    </w:p>
    <w:p w14:paraId="6F463618" w14:textId="77777777" w:rsidR="007816ED" w:rsidRDefault="007816ED" w:rsidP="007816ED"/>
    <w:p w14:paraId="739632CC" w14:textId="588AF518" w:rsidR="007816ED" w:rsidRDefault="002D1811" w:rsidP="007816ED">
      <w:pPr>
        <w:pStyle w:val="Heading1"/>
        <w:tabs>
          <w:tab w:val="num" w:pos="0"/>
        </w:tabs>
        <w:spacing w:after="240" w:line="240" w:lineRule="auto"/>
        <w:ind w:hanging="1162"/>
      </w:pPr>
      <w:bookmarkStart w:id="59" w:name="_Toc491439922"/>
      <w:r>
        <w:lastRenderedPageBreak/>
        <w:t>5</w:t>
      </w:r>
      <w:r w:rsidR="007816ED">
        <w:t xml:space="preserve"> </w:t>
      </w:r>
      <w:r w:rsidR="007816ED">
        <w:tab/>
      </w:r>
      <w:bookmarkStart w:id="60" w:name="_Toc348364679"/>
      <w:bookmarkStart w:id="61" w:name="_Toc484612357"/>
      <w:r w:rsidR="007816ED">
        <w:t>Relevantie van de organisatie</w:t>
      </w:r>
      <w:bookmarkEnd w:id="60"/>
      <w:bookmarkEnd w:id="61"/>
      <w:bookmarkEnd w:id="59"/>
    </w:p>
    <w:p w14:paraId="65E96CAA" w14:textId="7C98485E" w:rsidR="00A840B4" w:rsidRDefault="00A840B4" w:rsidP="00A840B4">
      <w:r>
        <w:t>Dit hoofdstuk behandelt de relevantie van de organisatie voor de Nederlandse BHOS-prioriteiten. Hierbij wordt een driedeling gemaakt: een organisatie is relevant voor een BHOS-thema indien van direct belang voor een beleidsonderwerp, een organisatie is beperkt relevant als hij deels of indirect van belang is voor het beleidsonderwerp of een organisatie is niet relevant als hij niet van belang is voor het beleidsonderwerp. Ten aanzien van het thema gender geldt dat een organisatie ook als relevant is aangemerkt wanneer het gender in substantiële mate toepast als dwarsdoorsnijdend thema. Het presteren van de organisatie op de relevante thema’s wordt vervolgens gescoord op uitvoerende, normerende of coördinerende activiteiten op dat thema.</w:t>
      </w:r>
    </w:p>
    <w:p w14:paraId="791D2E17" w14:textId="77777777" w:rsidR="001E2549" w:rsidRPr="00A840B4" w:rsidRDefault="001E2549" w:rsidP="00A840B4"/>
    <w:p w14:paraId="62452842" w14:textId="4BC1C93F" w:rsidR="007816ED" w:rsidRDefault="002D1811" w:rsidP="00560B07">
      <w:pPr>
        <w:pStyle w:val="Heading2"/>
        <w:tabs>
          <w:tab w:val="left" w:pos="-1162"/>
          <w:tab w:val="left" w:pos="0"/>
        </w:tabs>
        <w:spacing w:line="240" w:lineRule="auto"/>
        <w:ind w:hanging="1134"/>
      </w:pPr>
      <w:bookmarkStart w:id="62" w:name="_Toc484612358"/>
      <w:bookmarkStart w:id="63" w:name="_Toc491439923"/>
      <w:r>
        <w:t>5</w:t>
      </w:r>
      <w:r w:rsidR="007816ED">
        <w:t xml:space="preserve">.1 </w:t>
      </w:r>
      <w:r w:rsidR="007816ED">
        <w:tab/>
        <w:t>Relevantie voor Nederlandse BHOS-prioriteiten</w:t>
      </w:r>
      <w:bookmarkEnd w:id="62"/>
      <w:bookmarkEnd w:id="63"/>
    </w:p>
    <w:p w14:paraId="122652EE" w14:textId="77777777" w:rsidR="007816ED" w:rsidRPr="00560B07" w:rsidRDefault="007816ED" w:rsidP="00560B07">
      <w:pPr>
        <w:rPr>
          <w:u w:val="single"/>
        </w:rPr>
      </w:pPr>
      <w:r w:rsidRPr="00560B07">
        <w:rPr>
          <w:u w:val="single"/>
        </w:rPr>
        <w:t>Voedselzekerheid</w:t>
      </w:r>
    </w:p>
    <w:p w14:paraId="63483DF7" w14:textId="4392F311" w:rsidR="007816ED" w:rsidRPr="0077045A" w:rsidRDefault="00560B07" w:rsidP="00212839">
      <w:pPr>
        <w:spacing w:beforeLines="1" w:before="2" w:afterLines="1" w:after="2"/>
        <w:rPr>
          <w:szCs w:val="18"/>
        </w:rPr>
      </w:pPr>
      <w:r w:rsidRPr="00560B07">
        <w:rPr>
          <w:i/>
          <w:szCs w:val="18"/>
        </w:rPr>
        <w:t>Relevant.</w:t>
      </w:r>
      <w:r w:rsidR="007816ED">
        <w:rPr>
          <w:szCs w:val="18"/>
        </w:rPr>
        <w:t xml:space="preserve"> De Bank</w:t>
      </w:r>
      <w:r w:rsidR="007816ED" w:rsidRPr="0077045A">
        <w:rPr>
          <w:szCs w:val="18"/>
        </w:rPr>
        <w:t xml:space="preserve"> is wereldwijd een grote speler op gebied van landbouw, voedings- en voedselzekerheid</w:t>
      </w:r>
      <w:r w:rsidR="00BD063A">
        <w:rPr>
          <w:szCs w:val="18"/>
        </w:rPr>
        <w:t xml:space="preserve"> en draagt hiermee bij </w:t>
      </w:r>
      <w:r w:rsidR="00600C9A">
        <w:rPr>
          <w:szCs w:val="18"/>
        </w:rPr>
        <w:t xml:space="preserve">aan </w:t>
      </w:r>
      <w:r w:rsidR="00DC17BE">
        <w:rPr>
          <w:szCs w:val="18"/>
        </w:rPr>
        <w:t>de realisatie</w:t>
      </w:r>
      <w:r w:rsidR="00600C9A">
        <w:rPr>
          <w:szCs w:val="18"/>
        </w:rPr>
        <w:t xml:space="preserve"> van SDG 2. </w:t>
      </w:r>
      <w:r w:rsidR="00600C9A" w:rsidRPr="00600C9A">
        <w:rPr>
          <w:szCs w:val="18"/>
        </w:rPr>
        <w:t xml:space="preserve">In 2016 werd door IDA bijna USD 2 miljard gecommitteerd voor landbouwprojecten. </w:t>
      </w:r>
      <w:r w:rsidR="007816ED" w:rsidRPr="0077045A">
        <w:rPr>
          <w:szCs w:val="18"/>
        </w:rPr>
        <w:t>Nederlandse expertise</w:t>
      </w:r>
      <w:r w:rsidR="007816ED">
        <w:rPr>
          <w:szCs w:val="18"/>
        </w:rPr>
        <w:t xml:space="preserve"> op dit terrein wordt door de Bank actief binnengehaald;</w:t>
      </w:r>
      <w:r w:rsidR="007816ED" w:rsidRPr="0077045A">
        <w:rPr>
          <w:szCs w:val="18"/>
        </w:rPr>
        <w:t xml:space="preserve"> sinds</w:t>
      </w:r>
      <w:r w:rsidR="007816ED">
        <w:rPr>
          <w:szCs w:val="18"/>
        </w:rPr>
        <w:t xml:space="preserve"> mei 2015 in het kader van een Strategisch Partnerschap </w:t>
      </w:r>
      <w:r w:rsidR="007816ED" w:rsidRPr="0077045A">
        <w:rPr>
          <w:szCs w:val="18"/>
        </w:rPr>
        <w:t xml:space="preserve">tussen </w:t>
      </w:r>
      <w:r w:rsidR="007816ED">
        <w:rPr>
          <w:szCs w:val="18"/>
        </w:rPr>
        <w:t xml:space="preserve">de WBG </w:t>
      </w:r>
      <w:r w:rsidR="007816ED" w:rsidRPr="0077045A">
        <w:rPr>
          <w:szCs w:val="18"/>
        </w:rPr>
        <w:t xml:space="preserve">en de Nederlandse overheid. Vanuit voedselzekerheid wordt substantieel bijgedragen aan het </w:t>
      </w:r>
      <w:r w:rsidR="007816ED" w:rsidRPr="000133FF">
        <w:rPr>
          <w:i/>
          <w:szCs w:val="18"/>
        </w:rPr>
        <w:t xml:space="preserve">Global </w:t>
      </w:r>
      <w:proofErr w:type="spellStart"/>
      <w:r w:rsidR="007816ED" w:rsidRPr="000133FF">
        <w:rPr>
          <w:i/>
          <w:szCs w:val="18"/>
        </w:rPr>
        <w:t>Agriculture</w:t>
      </w:r>
      <w:proofErr w:type="spellEnd"/>
      <w:r w:rsidR="007816ED" w:rsidRPr="000133FF">
        <w:rPr>
          <w:i/>
          <w:szCs w:val="18"/>
        </w:rPr>
        <w:t xml:space="preserve"> </w:t>
      </w:r>
      <w:proofErr w:type="spellStart"/>
      <w:r w:rsidR="007816ED" w:rsidRPr="000133FF">
        <w:rPr>
          <w:i/>
          <w:szCs w:val="18"/>
        </w:rPr>
        <w:t>and</w:t>
      </w:r>
      <w:proofErr w:type="spellEnd"/>
      <w:r w:rsidR="007816ED" w:rsidRPr="000133FF">
        <w:rPr>
          <w:i/>
          <w:szCs w:val="18"/>
        </w:rPr>
        <w:t xml:space="preserve"> Food Security Program</w:t>
      </w:r>
      <w:r w:rsidR="007816ED" w:rsidRPr="0077045A">
        <w:rPr>
          <w:szCs w:val="18"/>
        </w:rPr>
        <w:t xml:space="preserve"> (GAFSP)</w:t>
      </w:r>
      <w:r w:rsidR="009A00B2">
        <w:rPr>
          <w:szCs w:val="18"/>
        </w:rPr>
        <w:t xml:space="preserve"> en</w:t>
      </w:r>
      <w:r w:rsidR="007816ED" w:rsidRPr="0077045A">
        <w:rPr>
          <w:szCs w:val="18"/>
        </w:rPr>
        <w:t xml:space="preserve"> aan de </w:t>
      </w:r>
      <w:proofErr w:type="spellStart"/>
      <w:r w:rsidR="007816ED" w:rsidRPr="000133FF">
        <w:rPr>
          <w:i/>
          <w:szCs w:val="18"/>
        </w:rPr>
        <w:t>Consultative</w:t>
      </w:r>
      <w:proofErr w:type="spellEnd"/>
      <w:r w:rsidR="007816ED" w:rsidRPr="000133FF">
        <w:rPr>
          <w:i/>
          <w:szCs w:val="18"/>
        </w:rPr>
        <w:t xml:space="preserve"> Group </w:t>
      </w:r>
      <w:proofErr w:type="spellStart"/>
      <w:r w:rsidR="007816ED" w:rsidRPr="000133FF">
        <w:rPr>
          <w:i/>
          <w:szCs w:val="18"/>
        </w:rPr>
        <w:t>for</w:t>
      </w:r>
      <w:proofErr w:type="spellEnd"/>
      <w:r w:rsidR="007816ED" w:rsidRPr="000133FF">
        <w:rPr>
          <w:i/>
          <w:szCs w:val="18"/>
        </w:rPr>
        <w:t xml:space="preserve"> International Agricultural Research</w:t>
      </w:r>
      <w:r w:rsidR="007816ED" w:rsidRPr="0077045A">
        <w:rPr>
          <w:szCs w:val="18"/>
        </w:rPr>
        <w:t xml:space="preserve"> (CGIAR).</w:t>
      </w:r>
      <w:r w:rsidR="007816ED">
        <w:rPr>
          <w:szCs w:val="18"/>
        </w:rPr>
        <w:t xml:space="preserve"> De Bank</w:t>
      </w:r>
      <w:r w:rsidR="007816ED" w:rsidRPr="0077045A">
        <w:rPr>
          <w:szCs w:val="18"/>
        </w:rPr>
        <w:t xml:space="preserve"> is </w:t>
      </w:r>
      <w:r w:rsidR="007816ED">
        <w:rPr>
          <w:szCs w:val="18"/>
        </w:rPr>
        <w:t xml:space="preserve">internationaal </w:t>
      </w:r>
      <w:r w:rsidR="007816ED" w:rsidRPr="0077045A">
        <w:rPr>
          <w:szCs w:val="18"/>
        </w:rPr>
        <w:t>een belangrijke partner in beleid</w:t>
      </w:r>
      <w:r w:rsidR="007816ED">
        <w:rPr>
          <w:szCs w:val="18"/>
        </w:rPr>
        <w:t>sontwikkeling</w:t>
      </w:r>
      <w:r w:rsidR="007816ED" w:rsidRPr="0077045A">
        <w:rPr>
          <w:szCs w:val="18"/>
        </w:rPr>
        <w:t xml:space="preserve"> op </w:t>
      </w:r>
      <w:r w:rsidR="007816ED">
        <w:rPr>
          <w:szCs w:val="18"/>
        </w:rPr>
        <w:t>het terrein</w:t>
      </w:r>
      <w:r w:rsidR="007816ED" w:rsidRPr="0077045A">
        <w:rPr>
          <w:szCs w:val="18"/>
        </w:rPr>
        <w:t xml:space="preserve"> van voedselzekerheid,</w:t>
      </w:r>
      <w:r w:rsidR="007816ED" w:rsidRPr="00E406BE">
        <w:rPr>
          <w:i/>
          <w:szCs w:val="18"/>
        </w:rPr>
        <w:t xml:space="preserve"> </w:t>
      </w:r>
      <w:proofErr w:type="spellStart"/>
      <w:r w:rsidR="007816ED" w:rsidRPr="00E406BE">
        <w:rPr>
          <w:i/>
          <w:szCs w:val="18"/>
        </w:rPr>
        <w:t>climate</w:t>
      </w:r>
      <w:proofErr w:type="spellEnd"/>
      <w:r w:rsidR="007816ED" w:rsidRPr="00E406BE">
        <w:rPr>
          <w:i/>
          <w:szCs w:val="18"/>
        </w:rPr>
        <w:t xml:space="preserve"> smart </w:t>
      </w:r>
      <w:proofErr w:type="spellStart"/>
      <w:r w:rsidR="007816ED" w:rsidRPr="00E406BE">
        <w:rPr>
          <w:i/>
          <w:szCs w:val="18"/>
        </w:rPr>
        <w:t>agriculture</w:t>
      </w:r>
      <w:proofErr w:type="spellEnd"/>
      <w:r w:rsidR="007816ED" w:rsidRPr="00E406BE">
        <w:rPr>
          <w:i/>
          <w:szCs w:val="18"/>
        </w:rPr>
        <w:t xml:space="preserve">, land </w:t>
      </w:r>
      <w:proofErr w:type="spellStart"/>
      <w:r w:rsidR="007816ED" w:rsidRPr="00E406BE">
        <w:rPr>
          <w:i/>
          <w:szCs w:val="18"/>
        </w:rPr>
        <w:t>governance</w:t>
      </w:r>
      <w:proofErr w:type="spellEnd"/>
      <w:r w:rsidR="007816ED" w:rsidRPr="00E406BE">
        <w:rPr>
          <w:i/>
          <w:szCs w:val="18"/>
        </w:rPr>
        <w:t xml:space="preserve">, food waste </w:t>
      </w:r>
      <w:proofErr w:type="spellStart"/>
      <w:r w:rsidR="007816ED" w:rsidRPr="00E406BE">
        <w:rPr>
          <w:i/>
          <w:szCs w:val="18"/>
        </w:rPr>
        <w:t>and</w:t>
      </w:r>
      <w:proofErr w:type="spellEnd"/>
      <w:r w:rsidR="007816ED" w:rsidRPr="00E406BE">
        <w:rPr>
          <w:i/>
          <w:szCs w:val="18"/>
        </w:rPr>
        <w:t xml:space="preserve"> food </w:t>
      </w:r>
      <w:proofErr w:type="spellStart"/>
      <w:r w:rsidR="007816ED" w:rsidRPr="00E406BE">
        <w:rPr>
          <w:i/>
          <w:szCs w:val="18"/>
        </w:rPr>
        <w:t>losses</w:t>
      </w:r>
      <w:proofErr w:type="spellEnd"/>
      <w:r w:rsidR="007816ED" w:rsidRPr="00E406BE">
        <w:rPr>
          <w:i/>
          <w:szCs w:val="18"/>
        </w:rPr>
        <w:t>.</w:t>
      </w:r>
      <w:r w:rsidR="007816ED">
        <w:rPr>
          <w:szCs w:val="18"/>
        </w:rPr>
        <w:t xml:space="preserve"> Zo ondersteunt de Bank bijvoorbeeld </w:t>
      </w:r>
      <w:r w:rsidR="007816ED" w:rsidRPr="0077045A">
        <w:rPr>
          <w:szCs w:val="18"/>
        </w:rPr>
        <w:t xml:space="preserve">het </w:t>
      </w:r>
      <w:r w:rsidR="007816ED" w:rsidRPr="000133FF">
        <w:rPr>
          <w:i/>
          <w:szCs w:val="18"/>
        </w:rPr>
        <w:t xml:space="preserve">Comprehensive </w:t>
      </w:r>
      <w:proofErr w:type="spellStart"/>
      <w:r w:rsidR="007816ED" w:rsidRPr="000133FF">
        <w:rPr>
          <w:i/>
          <w:szCs w:val="18"/>
        </w:rPr>
        <w:t>African</w:t>
      </w:r>
      <w:proofErr w:type="spellEnd"/>
      <w:r w:rsidR="007816ED" w:rsidRPr="000133FF">
        <w:rPr>
          <w:i/>
          <w:szCs w:val="18"/>
        </w:rPr>
        <w:t xml:space="preserve"> Agricultural Development Plan</w:t>
      </w:r>
      <w:r w:rsidR="00600C9A">
        <w:rPr>
          <w:szCs w:val="18"/>
        </w:rPr>
        <w:t xml:space="preserve"> van de AU/NEPAD.</w:t>
      </w:r>
    </w:p>
    <w:p w14:paraId="657E0DD6" w14:textId="77777777" w:rsidR="007816ED" w:rsidRDefault="007816ED" w:rsidP="007816ED"/>
    <w:p w14:paraId="2FE5B42B" w14:textId="77777777" w:rsidR="007816ED" w:rsidRPr="00560B07" w:rsidRDefault="007816ED" w:rsidP="00560B07">
      <w:pPr>
        <w:rPr>
          <w:u w:val="single"/>
        </w:rPr>
      </w:pPr>
      <w:r w:rsidRPr="00560B07">
        <w:rPr>
          <w:u w:val="single"/>
        </w:rPr>
        <w:t>Water</w:t>
      </w:r>
    </w:p>
    <w:p w14:paraId="1A3D9EE7" w14:textId="31178CBC" w:rsidR="007816ED" w:rsidRDefault="007816ED" w:rsidP="007816ED">
      <w:pPr>
        <w:pStyle w:val="NormalWeb"/>
      </w:pPr>
      <w:r w:rsidRPr="00560B07">
        <w:rPr>
          <w:i/>
        </w:rPr>
        <w:t>Relevant</w:t>
      </w:r>
      <w:r w:rsidR="00560B07">
        <w:t>.</w:t>
      </w:r>
      <w:r>
        <w:t xml:space="preserve"> De </w:t>
      </w:r>
      <w:r w:rsidR="00D652DE">
        <w:t>WBG</w:t>
      </w:r>
      <w:r>
        <w:t xml:space="preserve"> is</w:t>
      </w:r>
      <w:r w:rsidR="00600C9A">
        <w:t xml:space="preserve"> </w:t>
      </w:r>
      <w:r>
        <w:t xml:space="preserve">– met een portefeuille van USD 35 miljard en een team van meer dan 300 waterexperts – een van de belangrijkste investeerders en kenniscentra op het gebied van water en </w:t>
      </w:r>
      <w:proofErr w:type="spellStart"/>
      <w:r>
        <w:t>sanitatie</w:t>
      </w:r>
      <w:proofErr w:type="spellEnd"/>
      <w:r w:rsidRPr="00396175">
        <w:t xml:space="preserve"> </w:t>
      </w:r>
      <w:r>
        <w:t xml:space="preserve">wereldwijd. De </w:t>
      </w:r>
      <w:r w:rsidR="00D652DE">
        <w:t>WBG</w:t>
      </w:r>
      <w:r>
        <w:t xml:space="preserve"> richt zich hierbij op het realiseren van de duurzame ontwikkelingsdoelen (onder meer SDG 6 en 11) en investeert hiertoe in infrastructuur, instituties en kennisontwikkeling. De Bank bevordert dat water duurzaam wordt gebruikt en beheerd en dat - daar waar sociale, economische en ecologische doelen met elkaar concurreren - weloverwogen </w:t>
      </w:r>
      <w:proofErr w:type="spellStart"/>
      <w:r w:rsidRPr="000133FF">
        <w:rPr>
          <w:i/>
        </w:rPr>
        <w:t>trade-offs</w:t>
      </w:r>
      <w:proofErr w:type="spellEnd"/>
      <w:r>
        <w:t xml:space="preserve"> worden gemaakt. Ook zet de </w:t>
      </w:r>
      <w:r w:rsidR="00D652DE">
        <w:t>WBG</w:t>
      </w:r>
      <w:r>
        <w:t xml:space="preserve"> zich in voor betere beheersing van waterrisico’s. Hiertoe bouwt de </w:t>
      </w:r>
      <w:r w:rsidR="00D652DE">
        <w:t>WBG</w:t>
      </w:r>
      <w:r>
        <w:t xml:space="preserve"> adaptatie aan klimaatverandering structureel in zijn interventies</w:t>
      </w:r>
      <w:r w:rsidRPr="00CE46DE">
        <w:t xml:space="preserve"> </w:t>
      </w:r>
      <w:r>
        <w:t xml:space="preserve">in. Nederland co-financiert binnen het Strategisch Partnerschap tussen de WBG en de Nederlandse overheid diverse waterprojecten en stemt met wisselend succes de eigen inzet in veel landen af op die van de </w:t>
      </w:r>
      <w:r w:rsidR="00BF5759" w:rsidRPr="00C5757D">
        <w:t>WBG</w:t>
      </w:r>
      <w:r>
        <w:t xml:space="preserve">. Informele afstemming werkt vaak goed; formele coördinatie soms minder. Voor 2016 en 2017 heeft Nederland voor minstens twee jaar 6 waterexperts beschikbaar gesteld aan de Bank via het </w:t>
      </w:r>
      <w:r w:rsidRPr="000133FF">
        <w:rPr>
          <w:i/>
        </w:rPr>
        <w:t xml:space="preserve">Donor </w:t>
      </w:r>
      <w:proofErr w:type="spellStart"/>
      <w:r w:rsidRPr="000133FF">
        <w:rPr>
          <w:i/>
        </w:rPr>
        <w:t>Funded</w:t>
      </w:r>
      <w:proofErr w:type="spellEnd"/>
      <w:r w:rsidRPr="000133FF">
        <w:rPr>
          <w:i/>
        </w:rPr>
        <w:t xml:space="preserve"> </w:t>
      </w:r>
      <w:proofErr w:type="spellStart"/>
      <w:r w:rsidRPr="000133FF">
        <w:rPr>
          <w:i/>
        </w:rPr>
        <w:t>Staffing</w:t>
      </w:r>
      <w:proofErr w:type="spellEnd"/>
      <w:r w:rsidRPr="000133FF">
        <w:rPr>
          <w:i/>
        </w:rPr>
        <w:t xml:space="preserve"> Program</w:t>
      </w:r>
      <w:r>
        <w:t xml:space="preserve">. Deze waterexperts geven mede vorm aan de leningenportefeuille van de Bank. Nederland werkt ook samen met de </w:t>
      </w:r>
      <w:r w:rsidR="00573AF4">
        <w:t>WBG</w:t>
      </w:r>
      <w:r>
        <w:t xml:space="preserve"> in het </w:t>
      </w:r>
      <w:r w:rsidRPr="00472820">
        <w:rPr>
          <w:i/>
        </w:rPr>
        <w:t xml:space="preserve">High Level </w:t>
      </w:r>
      <w:r w:rsidR="00C00DA7" w:rsidRPr="00472820">
        <w:rPr>
          <w:i/>
        </w:rPr>
        <w:t>Panel on Water</w:t>
      </w:r>
      <w:r w:rsidR="00C00DA7">
        <w:t xml:space="preserve"> waar de Minister-</w:t>
      </w:r>
      <w:r>
        <w:t xml:space="preserve">President deel van uitmaakt. </w:t>
      </w:r>
    </w:p>
    <w:p w14:paraId="4905D01F" w14:textId="77777777" w:rsidR="007816ED" w:rsidRDefault="007816ED" w:rsidP="007816ED">
      <w:pPr>
        <w:ind w:left="360"/>
      </w:pPr>
    </w:p>
    <w:p w14:paraId="7F0E04AF" w14:textId="7D0256AF" w:rsidR="007816ED" w:rsidRPr="00560B07" w:rsidRDefault="007816ED" w:rsidP="00560B07">
      <w:pPr>
        <w:rPr>
          <w:u w:val="single"/>
        </w:rPr>
      </w:pPr>
      <w:r w:rsidRPr="00560B07">
        <w:rPr>
          <w:u w:val="single"/>
        </w:rPr>
        <w:t xml:space="preserve">Veiligheid en </w:t>
      </w:r>
      <w:r w:rsidR="00887CD1">
        <w:rPr>
          <w:u w:val="single"/>
        </w:rPr>
        <w:t>r</w:t>
      </w:r>
      <w:r w:rsidRPr="00560B07">
        <w:rPr>
          <w:u w:val="single"/>
        </w:rPr>
        <w:t>echtsorde</w:t>
      </w:r>
    </w:p>
    <w:p w14:paraId="57D69C18" w14:textId="3F2E2F18" w:rsidR="00625C19" w:rsidRDefault="00560B07" w:rsidP="00330C65">
      <w:r w:rsidRPr="00560B07">
        <w:rPr>
          <w:i/>
        </w:rPr>
        <w:t>Relevant.</w:t>
      </w:r>
      <w:r w:rsidR="007816ED">
        <w:t xml:space="preserve"> </w:t>
      </w:r>
      <w:r w:rsidR="007816ED" w:rsidRPr="000B7077">
        <w:t>Bij de uitvoering van haar beleid geeft de Bank steeds meer aandacht aan stabiliteit, veiligheid en rechtsorde.</w:t>
      </w:r>
      <w:r w:rsidR="007816ED" w:rsidRPr="000B7077">
        <w:rPr>
          <w:lang w:eastAsia="ja-JP"/>
        </w:rPr>
        <w:t xml:space="preserve"> De Bank wil een nieuwe aanpak ontwikkelen</w:t>
      </w:r>
      <w:r w:rsidR="00AB5BAB">
        <w:rPr>
          <w:lang w:eastAsia="ja-JP"/>
        </w:rPr>
        <w:t xml:space="preserve"> die </w:t>
      </w:r>
      <w:r w:rsidR="009F0DBF">
        <w:rPr>
          <w:lang w:eastAsia="ja-JP"/>
        </w:rPr>
        <w:t>conflict</w:t>
      </w:r>
      <w:r w:rsidR="007816ED" w:rsidRPr="000B7077">
        <w:rPr>
          <w:lang w:eastAsia="ja-JP"/>
        </w:rPr>
        <w:t>preventie</w:t>
      </w:r>
      <w:r w:rsidR="00AB5BAB">
        <w:rPr>
          <w:lang w:eastAsia="ja-JP"/>
        </w:rPr>
        <w:t>,</w:t>
      </w:r>
      <w:r w:rsidR="007816ED" w:rsidRPr="000B7077">
        <w:rPr>
          <w:lang w:eastAsia="ja-JP"/>
        </w:rPr>
        <w:t xml:space="preserve"> crisisre</w:t>
      </w:r>
      <w:r w:rsidR="00330C65">
        <w:rPr>
          <w:lang w:eastAsia="ja-JP"/>
        </w:rPr>
        <w:t>s</w:t>
      </w:r>
      <w:r w:rsidR="007816ED" w:rsidRPr="000B7077">
        <w:rPr>
          <w:lang w:eastAsia="ja-JP"/>
        </w:rPr>
        <w:t>pons</w:t>
      </w:r>
      <w:r w:rsidR="00AB5BAB">
        <w:rPr>
          <w:lang w:eastAsia="ja-JP"/>
        </w:rPr>
        <w:t>,</w:t>
      </w:r>
      <w:r w:rsidR="007816ED" w:rsidRPr="000B7077">
        <w:rPr>
          <w:lang w:eastAsia="ja-JP"/>
        </w:rPr>
        <w:t xml:space="preserve"> transitie, wederopbouw en ontwikkeling</w:t>
      </w:r>
      <w:r w:rsidR="00AB5BAB">
        <w:rPr>
          <w:lang w:eastAsia="ja-JP"/>
        </w:rPr>
        <w:t xml:space="preserve"> omvat</w:t>
      </w:r>
      <w:r w:rsidR="007816ED" w:rsidRPr="000B7077">
        <w:rPr>
          <w:lang w:eastAsia="ja-JP"/>
        </w:rPr>
        <w:t>.</w:t>
      </w:r>
      <w:r w:rsidR="007816ED" w:rsidRPr="000B7077">
        <w:t xml:space="preserve"> </w:t>
      </w:r>
      <w:r w:rsidR="007816ED" w:rsidRPr="000B7077">
        <w:rPr>
          <w:lang w:eastAsia="ja-JP"/>
        </w:rPr>
        <w:t>De WBG besteedt - mede op aandringen van Nederland - steeds meer aandacht aan fragiele staten</w:t>
      </w:r>
      <w:r w:rsidR="007816ED" w:rsidRPr="00F10F02">
        <w:rPr>
          <w:szCs w:val="18"/>
          <w:lang w:eastAsia="ja-JP"/>
        </w:rPr>
        <w:t xml:space="preserve">. </w:t>
      </w:r>
      <w:r w:rsidR="00330C65" w:rsidRPr="000B7077">
        <w:rPr>
          <w:lang w:eastAsia="ja-JP"/>
        </w:rPr>
        <w:t xml:space="preserve">Zo heeft het IFC aangegeven de inzet in fragiele staten te zullen </w:t>
      </w:r>
      <w:r w:rsidR="00330C65" w:rsidRPr="000B7077">
        <w:rPr>
          <w:lang w:eastAsia="ja-JP"/>
        </w:rPr>
        <w:lastRenderedPageBreak/>
        <w:t xml:space="preserve">verdubbelen en is </w:t>
      </w:r>
      <w:r w:rsidR="00330C65">
        <w:rPr>
          <w:lang w:eastAsia="ja-JP"/>
        </w:rPr>
        <w:t>fragiliteit</w:t>
      </w:r>
      <w:r w:rsidR="00330C65" w:rsidRPr="000B7077">
        <w:rPr>
          <w:lang w:eastAsia="ja-JP"/>
        </w:rPr>
        <w:t xml:space="preserve"> prioriteit voor IDA tot 2020. </w:t>
      </w:r>
      <w:r w:rsidR="00F10F02" w:rsidRPr="00F10F02">
        <w:rPr>
          <w:szCs w:val="18"/>
          <w:lang w:eastAsia="ja-JP"/>
        </w:rPr>
        <w:t>O</w:t>
      </w:r>
      <w:r w:rsidR="00F10F02" w:rsidRPr="00F10F02">
        <w:rPr>
          <w:szCs w:val="18"/>
        </w:rPr>
        <w:t>ok is het crisisrespons loket uitgebreid tot 2 miljard</w:t>
      </w:r>
      <w:r w:rsidR="00F10F02">
        <w:rPr>
          <w:szCs w:val="18"/>
        </w:rPr>
        <w:t xml:space="preserve"> </w:t>
      </w:r>
      <w:r w:rsidR="00F10F02" w:rsidRPr="00F10F02">
        <w:rPr>
          <w:szCs w:val="18"/>
        </w:rPr>
        <w:t>USD</w:t>
      </w:r>
      <w:r w:rsidR="00600C9A">
        <w:t>.</w:t>
      </w:r>
    </w:p>
    <w:p w14:paraId="5F2F1B8F" w14:textId="7AF2DE59" w:rsidR="00330C65" w:rsidRDefault="00330C65" w:rsidP="00330C65">
      <w:r>
        <w:t xml:space="preserve">De Bank is actief in de </w:t>
      </w:r>
      <w:r w:rsidRPr="000133FF">
        <w:rPr>
          <w:i/>
        </w:rPr>
        <w:t>New Deal</w:t>
      </w:r>
      <w:r>
        <w:t xml:space="preserve">: een partnerschap tussen donoren en fragiele staten om de aanpak van grondoorzaken van conflict centraal te stellen in programma’s van ontwikkelingssamenwerking in fragiele gebieden.  De Bank moet </w:t>
      </w:r>
      <w:r w:rsidR="00AB5BAB">
        <w:t xml:space="preserve">hierbij op een meer innovatieve manier en op maat opereren </w:t>
      </w:r>
      <w:r>
        <w:t>(</w:t>
      </w:r>
      <w:r w:rsidR="00AB5BAB">
        <w:t xml:space="preserve">grote financieringsvolumes en </w:t>
      </w:r>
      <w:r w:rsidRPr="00330C65">
        <w:rPr>
          <w:i/>
        </w:rPr>
        <w:t xml:space="preserve">business as </w:t>
      </w:r>
      <w:proofErr w:type="spellStart"/>
      <w:r w:rsidRPr="00330C65">
        <w:rPr>
          <w:i/>
        </w:rPr>
        <w:t>usual</w:t>
      </w:r>
      <w:proofErr w:type="spellEnd"/>
      <w:r>
        <w:t xml:space="preserve"> </w:t>
      </w:r>
      <w:r w:rsidR="00AB5BAB">
        <w:t>werkt niet in fragiele staten).</w:t>
      </w:r>
    </w:p>
    <w:p w14:paraId="2D412ACC" w14:textId="77777777" w:rsidR="00625C19" w:rsidRDefault="00625C19" w:rsidP="00330C65"/>
    <w:p w14:paraId="38139287" w14:textId="00684594" w:rsidR="00330C65" w:rsidRDefault="00330C65" w:rsidP="00330C65">
      <w:r>
        <w:t xml:space="preserve">Een kwalitatief goede bezetting van veldkantoren in fragiele staten en de implementatie van flexibele adaptieve programma’s vormen nog een uitdaging voor de </w:t>
      </w:r>
      <w:r w:rsidR="00AB5BAB">
        <w:t>B</w:t>
      </w:r>
      <w:r>
        <w:t xml:space="preserve">ank. Sinds de </w:t>
      </w:r>
      <w:proofErr w:type="spellStart"/>
      <w:r w:rsidRPr="005333ED">
        <w:rPr>
          <w:i/>
        </w:rPr>
        <w:t>Fragil</w:t>
      </w:r>
      <w:r>
        <w:rPr>
          <w:i/>
        </w:rPr>
        <w:t>ity</w:t>
      </w:r>
      <w:proofErr w:type="spellEnd"/>
      <w:r w:rsidRPr="005333ED">
        <w:rPr>
          <w:i/>
        </w:rPr>
        <w:t xml:space="preserve"> Conflict &amp; </w:t>
      </w:r>
      <w:proofErr w:type="spellStart"/>
      <w:r w:rsidRPr="005333ED">
        <w:rPr>
          <w:i/>
        </w:rPr>
        <w:t>Violence</w:t>
      </w:r>
      <w:proofErr w:type="spellEnd"/>
      <w:r w:rsidRPr="005333ED">
        <w:rPr>
          <w:i/>
        </w:rPr>
        <w:t xml:space="preserve"> Cross </w:t>
      </w:r>
      <w:proofErr w:type="spellStart"/>
      <w:r w:rsidRPr="005333ED">
        <w:rPr>
          <w:i/>
        </w:rPr>
        <w:t>Cutting</w:t>
      </w:r>
      <w:proofErr w:type="spellEnd"/>
      <w:r w:rsidRPr="005333ED">
        <w:rPr>
          <w:i/>
        </w:rPr>
        <w:t xml:space="preserve"> Solution Area</w:t>
      </w:r>
      <w:r>
        <w:t xml:space="preserve"> onder nieuw management is komen te staan, is duidelijk voortgang gemaakt met de opzet van een effectiever fragiele statenbeleid.</w:t>
      </w:r>
    </w:p>
    <w:p w14:paraId="61E90448" w14:textId="4216AD28" w:rsidR="00625C19" w:rsidRDefault="00EC51F8" w:rsidP="00330C65">
      <w:r>
        <w:t xml:space="preserve">In haar strategie voor de </w:t>
      </w:r>
      <w:r w:rsidR="00472820">
        <w:t xml:space="preserve">Midden-Oosten en Noord-Afrika regio (MENA) </w:t>
      </w:r>
      <w:r w:rsidR="00330C65">
        <w:t xml:space="preserve">heeft de Bank voor het eerst Vrede en Stabiliteit tot hoofddoelstellingen aangemerkt en een </w:t>
      </w:r>
      <w:proofErr w:type="spellStart"/>
      <w:r w:rsidR="00330C65" w:rsidRPr="005333ED">
        <w:rPr>
          <w:i/>
        </w:rPr>
        <w:t>Theory</w:t>
      </w:r>
      <w:proofErr w:type="spellEnd"/>
      <w:r w:rsidR="00330C65" w:rsidRPr="005333ED">
        <w:rPr>
          <w:i/>
        </w:rPr>
        <w:t xml:space="preserve"> </w:t>
      </w:r>
      <w:r w:rsidR="002D5AAC">
        <w:rPr>
          <w:i/>
        </w:rPr>
        <w:t>of</w:t>
      </w:r>
      <w:r w:rsidR="00330C65" w:rsidRPr="005333ED">
        <w:rPr>
          <w:i/>
        </w:rPr>
        <w:t xml:space="preserve"> Change</w:t>
      </w:r>
      <w:r w:rsidR="00330C65">
        <w:t xml:space="preserve"> ontwikkeld. Met de oprichting van de Concessionele Leningen Faciliteit (CFF) geeft de bank middeninkomenslanden die grote aantallen vluchtelingen opvangen toegang tot concessionele leningen voor een verbeterde opvang in de regio. De bank slaat op deze manier een brug tussen humanitaire hulp en ontwikkelingssamenwerking en mobiliseert daarbij de broodnodige extra middelen om crisissituaties beheersbaar te maken. Nederland zit in de Stuurgroep van de CFF en dra</w:t>
      </w:r>
      <w:r>
        <w:t>agt 10 miljoen euro bij aan CFF-</w:t>
      </w:r>
      <w:r w:rsidR="00330C65">
        <w:t>leningen ten behoev</w:t>
      </w:r>
      <w:r w:rsidR="00E671F4">
        <w:t>e van zowel Libanon als Jordanië</w:t>
      </w:r>
      <w:r w:rsidR="00330C65">
        <w:t>, en doneerde specifiek voor leningen aan Libanon nog eens 15 miljoen euro.</w:t>
      </w:r>
      <w:r w:rsidR="00600C9A">
        <w:t xml:space="preserve"> </w:t>
      </w:r>
    </w:p>
    <w:p w14:paraId="435623AF" w14:textId="77777777" w:rsidR="007816ED" w:rsidRPr="000B7077" w:rsidRDefault="007816ED" w:rsidP="00F10F02">
      <w:pPr>
        <w:pStyle w:val="ColorfulList-Accent11"/>
        <w:ind w:left="0"/>
        <w:rPr>
          <w:rFonts w:ascii="Verdana" w:hAnsi="Verdana"/>
          <w:sz w:val="18"/>
          <w:lang w:eastAsia="ja-JP"/>
        </w:rPr>
      </w:pPr>
      <w:r w:rsidRPr="000B7077">
        <w:rPr>
          <w:rFonts w:ascii="Verdana" w:hAnsi="Verdana"/>
          <w:sz w:val="18"/>
          <w:lang w:eastAsia="ja-JP"/>
        </w:rPr>
        <w:t xml:space="preserve">In </w:t>
      </w:r>
      <w:r>
        <w:rPr>
          <w:rFonts w:ascii="Verdana" w:hAnsi="Verdana"/>
          <w:sz w:val="18"/>
          <w:lang w:eastAsia="ja-JP"/>
        </w:rPr>
        <w:t>2016 werkte de B</w:t>
      </w:r>
      <w:r w:rsidRPr="000B7077">
        <w:rPr>
          <w:rFonts w:ascii="Verdana" w:hAnsi="Verdana"/>
          <w:sz w:val="18"/>
          <w:lang w:eastAsia="ja-JP"/>
        </w:rPr>
        <w:t xml:space="preserve">ank en de VN </w:t>
      </w:r>
      <w:r>
        <w:rPr>
          <w:rFonts w:ascii="Verdana" w:hAnsi="Verdana"/>
          <w:sz w:val="18"/>
          <w:lang w:eastAsia="ja-JP"/>
        </w:rPr>
        <w:t xml:space="preserve">aan </w:t>
      </w:r>
      <w:r w:rsidRPr="000B7077">
        <w:rPr>
          <w:rFonts w:ascii="Verdana" w:hAnsi="Verdana"/>
          <w:sz w:val="18"/>
          <w:lang w:eastAsia="ja-JP"/>
        </w:rPr>
        <w:t>een eerste gezamenlijke studie (WBG, UNDP, PBSO, DPA,</w:t>
      </w:r>
      <w:r>
        <w:rPr>
          <w:rFonts w:ascii="Verdana" w:hAnsi="Verdana"/>
          <w:sz w:val="18"/>
          <w:lang w:eastAsia="ja-JP"/>
        </w:rPr>
        <w:t xml:space="preserve"> DPKO) over conflict</w:t>
      </w:r>
      <w:r w:rsidRPr="000B7077">
        <w:rPr>
          <w:rFonts w:ascii="Verdana" w:hAnsi="Verdana"/>
          <w:sz w:val="18"/>
          <w:lang w:eastAsia="ja-JP"/>
        </w:rPr>
        <w:t>preventie. Conflictsensitief te werk gaan zou meer algemeen toegepast</w:t>
      </w:r>
      <w:r>
        <w:rPr>
          <w:rFonts w:ascii="Verdana" w:hAnsi="Verdana"/>
          <w:sz w:val="18"/>
          <w:lang w:eastAsia="ja-JP"/>
        </w:rPr>
        <w:t xml:space="preserve"> moeten worden op de brede Bank-</w:t>
      </w:r>
      <w:r w:rsidRPr="000B7077">
        <w:rPr>
          <w:rFonts w:ascii="Verdana" w:hAnsi="Verdana"/>
          <w:sz w:val="18"/>
          <w:lang w:eastAsia="ja-JP"/>
        </w:rPr>
        <w:t xml:space="preserve">portfolio en niet alleen in fragiele staten. </w:t>
      </w:r>
      <w:r>
        <w:rPr>
          <w:rFonts w:ascii="Verdana" w:hAnsi="Verdana"/>
          <w:sz w:val="18"/>
          <w:lang w:eastAsia="ja-JP"/>
        </w:rPr>
        <w:t xml:space="preserve">Als belangrijke donor en gesprekspartner dringt </w:t>
      </w:r>
      <w:r w:rsidRPr="000B7077">
        <w:rPr>
          <w:rFonts w:ascii="Verdana" w:hAnsi="Verdana"/>
          <w:sz w:val="18"/>
          <w:lang w:eastAsia="ja-JP"/>
        </w:rPr>
        <w:t xml:space="preserve">Nederland hier </w:t>
      </w:r>
      <w:r w:rsidR="00600C9A">
        <w:rPr>
          <w:rFonts w:ascii="Verdana" w:hAnsi="Verdana"/>
          <w:sz w:val="18"/>
          <w:lang w:eastAsia="ja-JP"/>
        </w:rPr>
        <w:t xml:space="preserve">dan </w:t>
      </w:r>
      <w:r w:rsidRPr="000B7077">
        <w:rPr>
          <w:rFonts w:ascii="Verdana" w:hAnsi="Verdana"/>
          <w:sz w:val="18"/>
          <w:lang w:eastAsia="ja-JP"/>
        </w:rPr>
        <w:t>ook op aan.</w:t>
      </w:r>
    </w:p>
    <w:p w14:paraId="5AA3CF22" w14:textId="77777777" w:rsidR="007816ED" w:rsidRDefault="007816ED" w:rsidP="007816ED"/>
    <w:p w14:paraId="594E2E08" w14:textId="77777777" w:rsidR="007816ED" w:rsidRPr="00560B07" w:rsidRDefault="007816ED" w:rsidP="00560B07">
      <w:pPr>
        <w:rPr>
          <w:i/>
        </w:rPr>
      </w:pPr>
      <w:r w:rsidRPr="00560B07">
        <w:rPr>
          <w:u w:val="single"/>
        </w:rPr>
        <w:t>Seksuele en Reproductieve Gezondheid en Rechten</w:t>
      </w:r>
      <w:r>
        <w:t xml:space="preserve"> (SRGR), inclusief hiv/aids</w:t>
      </w:r>
    </w:p>
    <w:p w14:paraId="2748CB37" w14:textId="21C8815E" w:rsidR="00AE45CB" w:rsidRDefault="00560B07" w:rsidP="00AE45CB">
      <w:r w:rsidRPr="00560B07">
        <w:rPr>
          <w:i/>
        </w:rPr>
        <w:t>Relevant</w:t>
      </w:r>
      <w:r>
        <w:t xml:space="preserve">. </w:t>
      </w:r>
      <w:r w:rsidR="00AE45CB">
        <w:t xml:space="preserve">De Bank is </w:t>
      </w:r>
      <w:proofErr w:type="spellStart"/>
      <w:r w:rsidR="00AE45CB">
        <w:t>één</w:t>
      </w:r>
      <w:proofErr w:type="spellEnd"/>
      <w:r w:rsidR="00AE45CB">
        <w:t xml:space="preserve"> van de belangrijkste financieringsbronnen voor de gezondheidssector in ontwikkelingslanden. Hierdoor is de Bank in samenwerkingsverbanden tussen donoren en nationale autoriteiten vaak invloedrijk. De Bank werkt op het gebied van </w:t>
      </w:r>
      <w:proofErr w:type="spellStart"/>
      <w:r w:rsidR="00AE45CB" w:rsidRPr="006B14A2">
        <w:rPr>
          <w:i/>
        </w:rPr>
        <w:t>Reproductive</w:t>
      </w:r>
      <w:proofErr w:type="spellEnd"/>
      <w:r w:rsidR="00AE45CB" w:rsidRPr="006B14A2">
        <w:rPr>
          <w:i/>
        </w:rPr>
        <w:t xml:space="preserve">, </w:t>
      </w:r>
      <w:proofErr w:type="spellStart"/>
      <w:r w:rsidR="00AE45CB" w:rsidRPr="006B14A2">
        <w:rPr>
          <w:i/>
        </w:rPr>
        <w:t>Maternal</w:t>
      </w:r>
      <w:proofErr w:type="spellEnd"/>
      <w:r w:rsidR="00AE45CB" w:rsidRPr="006B14A2">
        <w:rPr>
          <w:i/>
        </w:rPr>
        <w:t xml:space="preserve">, </w:t>
      </w:r>
      <w:proofErr w:type="spellStart"/>
      <w:r w:rsidR="00AE45CB" w:rsidRPr="006B14A2">
        <w:rPr>
          <w:i/>
        </w:rPr>
        <w:t>Newborn</w:t>
      </w:r>
      <w:proofErr w:type="spellEnd"/>
      <w:r w:rsidR="00AE45CB" w:rsidRPr="006B14A2">
        <w:rPr>
          <w:i/>
        </w:rPr>
        <w:t xml:space="preserve">, Child </w:t>
      </w:r>
      <w:proofErr w:type="spellStart"/>
      <w:r w:rsidR="00AE45CB" w:rsidRPr="006B14A2">
        <w:rPr>
          <w:i/>
        </w:rPr>
        <w:t>and</w:t>
      </w:r>
      <w:proofErr w:type="spellEnd"/>
      <w:r w:rsidR="00AE45CB" w:rsidRPr="006B14A2">
        <w:rPr>
          <w:i/>
        </w:rPr>
        <w:t xml:space="preserve"> Adolescent Health</w:t>
      </w:r>
      <w:r w:rsidR="00AE45CB">
        <w:t xml:space="preserve"> samen met UNFPA, WHO, UNICEF, UN WOMEN en het </w:t>
      </w:r>
      <w:r w:rsidR="00AE45CB" w:rsidRPr="006B14A2">
        <w:rPr>
          <w:i/>
        </w:rPr>
        <w:t xml:space="preserve">Global Fund </w:t>
      </w:r>
      <w:proofErr w:type="spellStart"/>
      <w:r w:rsidR="00AE45CB" w:rsidRPr="006B14A2">
        <w:rPr>
          <w:i/>
        </w:rPr>
        <w:t>for</w:t>
      </w:r>
      <w:proofErr w:type="spellEnd"/>
      <w:r w:rsidR="00AE45CB" w:rsidRPr="006B14A2">
        <w:rPr>
          <w:i/>
        </w:rPr>
        <w:t xml:space="preserve"> Malaria, Aids </w:t>
      </w:r>
      <w:proofErr w:type="spellStart"/>
      <w:r w:rsidR="00AE45CB" w:rsidRPr="006B14A2">
        <w:rPr>
          <w:i/>
        </w:rPr>
        <w:t>and</w:t>
      </w:r>
      <w:proofErr w:type="spellEnd"/>
      <w:r w:rsidR="00AE45CB" w:rsidRPr="006B14A2">
        <w:rPr>
          <w:i/>
        </w:rPr>
        <w:t xml:space="preserve"> </w:t>
      </w:r>
      <w:proofErr w:type="spellStart"/>
      <w:r w:rsidR="00AE45CB" w:rsidRPr="006B14A2">
        <w:rPr>
          <w:i/>
        </w:rPr>
        <w:t>Tuberculosis</w:t>
      </w:r>
      <w:proofErr w:type="spellEnd"/>
      <w:r w:rsidR="00AE45CB">
        <w:t xml:space="preserve">. </w:t>
      </w:r>
    </w:p>
    <w:p w14:paraId="2EA8BC72" w14:textId="77777777" w:rsidR="007816ED" w:rsidRDefault="00AE45CB" w:rsidP="00AE45CB">
      <w:r>
        <w:t xml:space="preserve">De Bank heeft een grote invloed op resultaten op het gebied van SDG 3 </w:t>
      </w:r>
      <w:proofErr w:type="spellStart"/>
      <w:r w:rsidR="00876318">
        <w:rPr>
          <w:i/>
        </w:rPr>
        <w:t>Good</w:t>
      </w:r>
      <w:proofErr w:type="spellEnd"/>
      <w:r w:rsidR="00876318">
        <w:rPr>
          <w:i/>
        </w:rPr>
        <w:t xml:space="preserve"> Health </w:t>
      </w:r>
      <w:proofErr w:type="spellStart"/>
      <w:r w:rsidR="00876318">
        <w:rPr>
          <w:i/>
        </w:rPr>
        <w:t>and</w:t>
      </w:r>
      <w:proofErr w:type="spellEnd"/>
      <w:r w:rsidR="00876318">
        <w:rPr>
          <w:i/>
        </w:rPr>
        <w:t xml:space="preserve"> Well-</w:t>
      </w:r>
      <w:proofErr w:type="spellStart"/>
      <w:r w:rsidR="00876318">
        <w:rPr>
          <w:i/>
        </w:rPr>
        <w:t>being</w:t>
      </w:r>
      <w:proofErr w:type="spellEnd"/>
      <w:r>
        <w:t xml:space="preserve">. Dit geldt onder meer voor het debat over </w:t>
      </w:r>
      <w:r w:rsidRPr="006B14A2">
        <w:rPr>
          <w:i/>
        </w:rPr>
        <w:t xml:space="preserve">Universal Health </w:t>
      </w:r>
      <w:proofErr w:type="spellStart"/>
      <w:r w:rsidRPr="006B14A2">
        <w:rPr>
          <w:i/>
        </w:rPr>
        <w:t>Coverage</w:t>
      </w:r>
      <w:proofErr w:type="spellEnd"/>
      <w:r>
        <w:t xml:space="preserve"> en de nieuwe </w:t>
      </w:r>
      <w:r w:rsidRPr="006B14A2">
        <w:rPr>
          <w:i/>
        </w:rPr>
        <w:t xml:space="preserve">Global </w:t>
      </w:r>
      <w:proofErr w:type="spellStart"/>
      <w:r w:rsidRPr="006B14A2">
        <w:rPr>
          <w:i/>
        </w:rPr>
        <w:t>Financing</w:t>
      </w:r>
      <w:proofErr w:type="spellEnd"/>
      <w:r w:rsidRPr="006B14A2">
        <w:rPr>
          <w:i/>
        </w:rPr>
        <w:t xml:space="preserve"> Facility</w:t>
      </w:r>
      <w:r>
        <w:t xml:space="preserve"> (GFF). De GFF richt zich op het brede terrein van SRGR en kenmerkt zich door een benadering waarbij sterk de nadruk ligt op prioritering vanuit landenperspectief, wetenschappelijke bewijsvoering en coördinatie van activiteiten van verschillende donoren. </w:t>
      </w:r>
    </w:p>
    <w:p w14:paraId="1A52357C" w14:textId="77777777" w:rsidR="007816ED" w:rsidRDefault="007816ED" w:rsidP="007816ED">
      <w:pPr>
        <w:ind w:left="360"/>
      </w:pPr>
    </w:p>
    <w:p w14:paraId="5EDAA83E" w14:textId="793DA43C" w:rsidR="007816ED" w:rsidRPr="00560B07" w:rsidRDefault="007816ED" w:rsidP="00560B07">
      <w:pPr>
        <w:rPr>
          <w:u w:val="single"/>
        </w:rPr>
      </w:pPr>
      <w:r w:rsidRPr="00560B07">
        <w:rPr>
          <w:u w:val="single"/>
        </w:rPr>
        <w:t>Gendergelijkheid</w:t>
      </w:r>
    </w:p>
    <w:p w14:paraId="05753655" w14:textId="60E1C993" w:rsidR="007816ED" w:rsidRPr="00C71668" w:rsidRDefault="00560B07" w:rsidP="007E7829">
      <w:r w:rsidRPr="00560B07">
        <w:rPr>
          <w:i/>
        </w:rPr>
        <w:t>Relevant</w:t>
      </w:r>
      <w:r>
        <w:t>.</w:t>
      </w:r>
      <w:r w:rsidR="006B14A2">
        <w:t xml:space="preserve"> </w:t>
      </w:r>
      <w:r w:rsidR="007E7829">
        <w:t xml:space="preserve">De nieuwe genderstrategie van de Wereldbankgroep van eind 2015 is sterk geformuleerd en sluit goed aan op het Nederlandse genderbeleid. Gelijke toegang voor mannen en vrouwen tot banen en productiemiddelen staat centraal in de strategie, waarbij ook aandacht is voor andere terreinen die essentieel zijn om die doelen te bereiken zoals onderwijs, (reproductieve) gezondheidszorg, bestrijding </w:t>
      </w:r>
      <w:r w:rsidR="00625C19">
        <w:t xml:space="preserve">van </w:t>
      </w:r>
      <w:r w:rsidR="007E7829">
        <w:t xml:space="preserve">geweld en </w:t>
      </w:r>
      <w:r w:rsidR="00472820">
        <w:t xml:space="preserve">de </w:t>
      </w:r>
      <w:r w:rsidR="007E7829">
        <w:t>inzet van mannen en jongens</w:t>
      </w:r>
      <w:r w:rsidR="00472820">
        <w:t xml:space="preserve"> daarbij</w:t>
      </w:r>
      <w:r w:rsidR="007E7829">
        <w:t>. Het komt nu aan op de uitvoering van de strategie en daartoe heeft de WBG voortgang gemaakt in het aanpassen van zijn werkwijzen. Zo is gender sterk verankerd in IDA met een aantal inhoudelijke gender targets. Ook hebben al vi</w:t>
      </w:r>
      <w:r w:rsidR="009A00B2">
        <w:t>er</w:t>
      </w:r>
      <w:r w:rsidR="007E7829">
        <w:t xml:space="preserve"> </w:t>
      </w:r>
      <w:r w:rsidR="007E7829" w:rsidRPr="007E7829">
        <w:rPr>
          <w:i/>
        </w:rPr>
        <w:t xml:space="preserve">Global </w:t>
      </w:r>
      <w:proofErr w:type="spellStart"/>
      <w:r w:rsidR="007E7829" w:rsidRPr="007E7829">
        <w:rPr>
          <w:i/>
        </w:rPr>
        <w:t>Practices</w:t>
      </w:r>
      <w:proofErr w:type="spellEnd"/>
      <w:r w:rsidR="007E7829">
        <w:t xml:space="preserve"> de strategie </w:t>
      </w:r>
      <w:r w:rsidR="007E7829">
        <w:lastRenderedPageBreak/>
        <w:t xml:space="preserve">vertaald in </w:t>
      </w:r>
      <w:r w:rsidR="007E7829" w:rsidRPr="007E7829">
        <w:rPr>
          <w:i/>
        </w:rPr>
        <w:t xml:space="preserve">Gender Policy </w:t>
      </w:r>
      <w:proofErr w:type="spellStart"/>
      <w:r w:rsidR="007E7829" w:rsidRPr="007E7829">
        <w:rPr>
          <w:i/>
        </w:rPr>
        <w:t>Notes</w:t>
      </w:r>
      <w:proofErr w:type="spellEnd"/>
      <w:r w:rsidR="007E7829">
        <w:t>. Een van de uitdagingen voor de Bank is dat de vraag naar genderresultaten vanuit de klantlan</w:t>
      </w:r>
      <w:r w:rsidR="00C71668">
        <w:t>den inconsistent is.</w:t>
      </w:r>
    </w:p>
    <w:p w14:paraId="7CB20C41" w14:textId="77777777" w:rsidR="007816ED" w:rsidRPr="00C71668" w:rsidRDefault="007816ED" w:rsidP="007816ED"/>
    <w:p w14:paraId="558D0E5A" w14:textId="77777777" w:rsidR="007816ED" w:rsidRPr="00560B07" w:rsidRDefault="00330C65" w:rsidP="00560B07">
      <w:pPr>
        <w:rPr>
          <w:u w:val="single"/>
        </w:rPr>
      </w:pPr>
      <w:r w:rsidRPr="00560B07">
        <w:rPr>
          <w:u w:val="single"/>
        </w:rPr>
        <w:t>Klimaat</w:t>
      </w:r>
    </w:p>
    <w:p w14:paraId="1F6C6C89" w14:textId="683879F1" w:rsidR="00876318" w:rsidRDefault="007816ED" w:rsidP="00330C65">
      <w:r w:rsidRPr="00560B07">
        <w:rPr>
          <w:i/>
        </w:rPr>
        <w:t>Relevant</w:t>
      </w:r>
      <w:r w:rsidR="00560B07" w:rsidRPr="00560B07">
        <w:rPr>
          <w:i/>
        </w:rPr>
        <w:t>.</w:t>
      </w:r>
      <w:r>
        <w:t xml:space="preserve"> </w:t>
      </w:r>
      <w:r w:rsidR="00330C65">
        <w:t xml:space="preserve">De Bank speelt een belangrijke rol in de </w:t>
      </w:r>
      <w:r w:rsidR="00330C65" w:rsidRPr="00513D95">
        <w:t>multilaterale architectuur voor klimaatfinanciering</w:t>
      </w:r>
      <w:r w:rsidR="00330C65">
        <w:t xml:space="preserve">. </w:t>
      </w:r>
      <w:r w:rsidR="00876318">
        <w:t xml:space="preserve">In </w:t>
      </w:r>
      <w:r w:rsidR="00876318" w:rsidRPr="00876318">
        <w:t xml:space="preserve">2015 </w:t>
      </w:r>
      <w:r w:rsidR="00876318">
        <w:t xml:space="preserve">leverde de Bank de </w:t>
      </w:r>
      <w:r w:rsidR="00876318" w:rsidRPr="00876318">
        <w:t>grootste bijdrage van alle multilaterale ontwikkelingsbanken (</w:t>
      </w:r>
      <w:proofErr w:type="spellStart"/>
      <w:r w:rsidR="00876318" w:rsidRPr="00876318">
        <w:t>MDBs</w:t>
      </w:r>
      <w:proofErr w:type="spellEnd"/>
      <w:r w:rsidR="00876318" w:rsidRPr="00876318">
        <w:t xml:space="preserve">) aan klimaatfinanciering </w:t>
      </w:r>
      <w:r w:rsidR="00876318">
        <w:t>(USD</w:t>
      </w:r>
      <w:r w:rsidR="00876318" w:rsidRPr="00876318">
        <w:t xml:space="preserve"> 10 miljard</w:t>
      </w:r>
      <w:r w:rsidR="00876318">
        <w:t>)</w:t>
      </w:r>
      <w:r w:rsidR="00AB5BAB">
        <w:t xml:space="preserve">, en was deze </w:t>
      </w:r>
      <w:r w:rsidR="00876318" w:rsidRPr="00876318">
        <w:t>met afstand de grootste verstrekker van financiering voor adaptatieprojecten (</w:t>
      </w:r>
      <w:r w:rsidR="00876318">
        <w:t xml:space="preserve">USD </w:t>
      </w:r>
      <w:r w:rsidR="00876318" w:rsidRPr="00876318">
        <w:t xml:space="preserve">3,2 miljard, meer dan twee keer zoveel als alle andere ontwikkelingsbanken bij elkaar). </w:t>
      </w:r>
      <w:r w:rsidR="00876318">
        <w:t>Hiermee levert de Bank een onmisbare bijdrage aan SDG 13.</w:t>
      </w:r>
    </w:p>
    <w:p w14:paraId="1D8C9572" w14:textId="77777777" w:rsidR="00330C65" w:rsidRDefault="00330C65" w:rsidP="00330C65">
      <w:r>
        <w:t xml:space="preserve">De Bank is </w:t>
      </w:r>
      <w:r w:rsidRPr="00876318">
        <w:rPr>
          <w:i/>
        </w:rPr>
        <w:t>Trustee</w:t>
      </w:r>
      <w:r>
        <w:t xml:space="preserve"> en een belangrijke uitvoerder van de </w:t>
      </w:r>
      <w:r w:rsidRPr="0019069B">
        <w:rPr>
          <w:i/>
        </w:rPr>
        <w:t>Global Environment Facility</w:t>
      </w:r>
      <w:r>
        <w:t xml:space="preserve"> en de </w:t>
      </w:r>
      <w:proofErr w:type="spellStart"/>
      <w:r w:rsidRPr="0019069B">
        <w:rPr>
          <w:i/>
        </w:rPr>
        <w:t>Climate</w:t>
      </w:r>
      <w:proofErr w:type="spellEnd"/>
      <w:r w:rsidRPr="0019069B">
        <w:rPr>
          <w:i/>
        </w:rPr>
        <w:t xml:space="preserve"> Investment Funds</w:t>
      </w:r>
      <w:r>
        <w:t xml:space="preserve">. De Bank is geaccrediteerd als uitvoerder van het </w:t>
      </w:r>
      <w:r w:rsidRPr="0019069B">
        <w:rPr>
          <w:i/>
        </w:rPr>
        <w:t xml:space="preserve">Green </w:t>
      </w:r>
      <w:proofErr w:type="spellStart"/>
      <w:r w:rsidRPr="0019069B">
        <w:rPr>
          <w:i/>
        </w:rPr>
        <w:t>Climate</w:t>
      </w:r>
      <w:proofErr w:type="spellEnd"/>
      <w:r w:rsidRPr="0019069B">
        <w:rPr>
          <w:i/>
        </w:rPr>
        <w:t xml:space="preserve"> Fund</w:t>
      </w:r>
      <w:r>
        <w:t xml:space="preserve"> en (al enige tijd) in onderhandeling over het bijbehorende contract. Daarmee speelt de bank een belangrijke rol bij investeringen van ontwikkelingslanden in klimaatmitigatie en adaptatie.</w:t>
      </w:r>
    </w:p>
    <w:p w14:paraId="354DE971" w14:textId="77777777" w:rsidR="00330C65" w:rsidRDefault="00330C65" w:rsidP="00330C65">
      <w:r>
        <w:t xml:space="preserve">In haar klimaatactieplan heeft de </w:t>
      </w:r>
      <w:r w:rsidR="0019069B">
        <w:t>WBG</w:t>
      </w:r>
      <w:r>
        <w:t xml:space="preserve"> zich eraan gecommitteerd om klimaat en ontwikkeling op een geïntegreerde manier te benaderen en het aandeel klimaatfinanciering in de portefeuille van de WBG te laten groeien naar 28% in 2020. De </w:t>
      </w:r>
      <w:r w:rsidR="0019069B">
        <w:t>WBG</w:t>
      </w:r>
      <w:r>
        <w:t xml:space="preserve"> maakt goede voortgang en heeft dit percentage laten groeien van 15% in 2015 naar 18% in 2016, en naar verwachting 20% per einde 2017. Het blijft belangrijk om de voortgang van de WBG ten aanzien van deze doelen nauwlettend te bewaken. </w:t>
      </w:r>
    </w:p>
    <w:p w14:paraId="09016248" w14:textId="548A68DE" w:rsidR="00330C65" w:rsidRDefault="00330C65" w:rsidP="00330C65">
      <w:r>
        <w:t xml:space="preserve">Nederland heeft relatief veel invloed op het sectorale werk van de Wereldbank dat bepalend is voor klimaatadaptatie (water en </w:t>
      </w:r>
      <w:proofErr w:type="spellStart"/>
      <w:r>
        <w:t>klimaatslimme</w:t>
      </w:r>
      <w:proofErr w:type="spellEnd"/>
      <w:r>
        <w:t xml:space="preserve"> landbouw) en klimaatmitigatie (transitie </w:t>
      </w:r>
      <w:r w:rsidR="00831483">
        <w:t xml:space="preserve">van fossiele </w:t>
      </w:r>
      <w:r>
        <w:t xml:space="preserve">naar een duurzame energievoorziening). </w:t>
      </w:r>
      <w:r w:rsidR="0019069B">
        <w:t>Als éé</w:t>
      </w:r>
      <w:r>
        <w:t xml:space="preserve">n van de grootste donoren van </w:t>
      </w:r>
      <w:r w:rsidR="0019069B">
        <w:t xml:space="preserve">het </w:t>
      </w:r>
      <w:r>
        <w:t xml:space="preserve">energie </w:t>
      </w:r>
      <w:r w:rsidR="00472820">
        <w:t>T</w:t>
      </w:r>
      <w:r>
        <w:t xml:space="preserve">rust </w:t>
      </w:r>
      <w:r w:rsidR="00472820">
        <w:t>F</w:t>
      </w:r>
      <w:r>
        <w:t xml:space="preserve">und ESMAP </w:t>
      </w:r>
      <w:r w:rsidR="00472820">
        <w:t xml:space="preserve">(Energy sector Management Assistant Program) </w:t>
      </w:r>
      <w:r>
        <w:t>draagt Nederland gericht bij aan de vergroening van de energie</w:t>
      </w:r>
      <w:r w:rsidRPr="00513D95">
        <w:t xml:space="preserve">-portefeuille van de </w:t>
      </w:r>
      <w:r w:rsidR="0019069B">
        <w:t>WBG</w:t>
      </w:r>
      <w:r w:rsidRPr="00513D95">
        <w:t xml:space="preserve"> en de beleidsondersteuning die de </w:t>
      </w:r>
      <w:r w:rsidR="0019069B">
        <w:t>WBG</w:t>
      </w:r>
      <w:r w:rsidRPr="00513D95">
        <w:t xml:space="preserve"> biedt aan ontwikkelingslanden op het gebied van koolstofarme ontwikkeling (</w:t>
      </w:r>
      <w:r>
        <w:t xml:space="preserve">toegang tot </w:t>
      </w:r>
      <w:r w:rsidRPr="00513D95">
        <w:t>hernieuwbare energie en hervorming van f</w:t>
      </w:r>
      <w:r w:rsidR="006B14A2">
        <w:t>ossiele brandstoffensubsidies).</w:t>
      </w:r>
    </w:p>
    <w:p w14:paraId="1524098C" w14:textId="77777777" w:rsidR="00330C65" w:rsidRDefault="00330C65" w:rsidP="00330C65">
      <w:r>
        <w:t xml:space="preserve">De </w:t>
      </w:r>
      <w:r w:rsidR="0019069B">
        <w:t>WBG</w:t>
      </w:r>
      <w:r>
        <w:t xml:space="preserve"> speelt een belangrijke ondersteunende rol in internationale klimaatcoalities, zoals de </w:t>
      </w:r>
      <w:r w:rsidRPr="0019069B">
        <w:rPr>
          <w:i/>
        </w:rPr>
        <w:t xml:space="preserve">Carbon Pricing </w:t>
      </w:r>
      <w:proofErr w:type="spellStart"/>
      <w:r w:rsidRPr="0019069B">
        <w:rPr>
          <w:i/>
        </w:rPr>
        <w:t>Leadership</w:t>
      </w:r>
      <w:proofErr w:type="spellEnd"/>
      <w:r w:rsidRPr="0019069B">
        <w:rPr>
          <w:i/>
        </w:rPr>
        <w:t xml:space="preserve"> </w:t>
      </w:r>
      <w:proofErr w:type="spellStart"/>
      <w:r w:rsidRPr="0019069B">
        <w:rPr>
          <w:i/>
        </w:rPr>
        <w:t>Coalition</w:t>
      </w:r>
      <w:proofErr w:type="spellEnd"/>
      <w:r>
        <w:t xml:space="preserve"> en het </w:t>
      </w:r>
      <w:r w:rsidRPr="0019069B">
        <w:rPr>
          <w:i/>
        </w:rPr>
        <w:t>NDC Partnership</w:t>
      </w:r>
      <w:r>
        <w:t>.</w:t>
      </w:r>
    </w:p>
    <w:p w14:paraId="228F0BD7" w14:textId="77777777" w:rsidR="007816ED" w:rsidRDefault="007816ED" w:rsidP="007816ED">
      <w:pPr>
        <w:ind w:left="360"/>
      </w:pPr>
    </w:p>
    <w:p w14:paraId="64C5F19F" w14:textId="175DDE81" w:rsidR="006B14A2" w:rsidRPr="00560B07" w:rsidRDefault="007816ED" w:rsidP="00560B07">
      <w:pPr>
        <w:rPr>
          <w:u w:val="single"/>
        </w:rPr>
      </w:pPr>
      <w:r w:rsidRPr="00560B07">
        <w:rPr>
          <w:u w:val="single"/>
        </w:rPr>
        <w:t xml:space="preserve">Private </w:t>
      </w:r>
      <w:r w:rsidR="00887CD1">
        <w:rPr>
          <w:u w:val="single"/>
        </w:rPr>
        <w:t>s</w:t>
      </w:r>
      <w:r w:rsidRPr="00560B07">
        <w:rPr>
          <w:u w:val="single"/>
        </w:rPr>
        <w:t xml:space="preserve">ector </w:t>
      </w:r>
      <w:r w:rsidR="00887CD1">
        <w:rPr>
          <w:u w:val="single"/>
        </w:rPr>
        <w:t>ontwikkeling</w:t>
      </w:r>
    </w:p>
    <w:p w14:paraId="7823AB91" w14:textId="13C87538" w:rsidR="007816ED" w:rsidRDefault="00560B07" w:rsidP="007816ED">
      <w:r w:rsidRPr="00560B07">
        <w:rPr>
          <w:i/>
        </w:rPr>
        <w:t>Relevant.</w:t>
      </w:r>
      <w:r w:rsidR="0031508F" w:rsidRPr="0031508F">
        <w:t xml:space="preserve"> De WBG is een belangrijke speler op het gebied van private sector ontwikkeling in ontwikkelingslanden. Ongeveer 38% van de IDA </w:t>
      </w:r>
      <w:proofErr w:type="spellStart"/>
      <w:r w:rsidR="0031508F" w:rsidRPr="0031508F">
        <w:t>committeringen</w:t>
      </w:r>
      <w:proofErr w:type="spellEnd"/>
      <w:r w:rsidR="0031508F" w:rsidRPr="0031508F">
        <w:t xml:space="preserve"> zijn gericht op het verbeteren van het investeringsklimaat in de armste landen. IDA werkt steeds meer samen met MIGA en IFC om private sector investeringen aan te trekken in landen met hoge investeringsrisico’s. Binnen IDA komt een private sector loket om met MIGA en IFC te investeren in private sectorontwikkeling, met name in landen die te maken hebben met fragiliteit en </w:t>
      </w:r>
      <w:r w:rsidR="00E671F4" w:rsidRPr="0031508F">
        <w:t>conflict</w:t>
      </w:r>
      <w:r w:rsidR="0031508F" w:rsidRPr="0031508F">
        <w:t xml:space="preserve">. Nederland draagt bij aan een aantal programma’s, zoals het </w:t>
      </w:r>
      <w:r w:rsidR="0031508F" w:rsidRPr="0031508F">
        <w:rPr>
          <w:i/>
        </w:rPr>
        <w:t xml:space="preserve">Multidonor Trust Fund </w:t>
      </w:r>
      <w:proofErr w:type="spellStart"/>
      <w:r w:rsidR="0031508F" w:rsidRPr="0031508F">
        <w:rPr>
          <w:i/>
        </w:rPr>
        <w:t>for</w:t>
      </w:r>
      <w:proofErr w:type="spellEnd"/>
      <w:r w:rsidR="0031508F" w:rsidRPr="0031508F">
        <w:rPr>
          <w:i/>
        </w:rPr>
        <w:t xml:space="preserve"> Trade </w:t>
      </w:r>
      <w:proofErr w:type="spellStart"/>
      <w:r w:rsidR="0031508F" w:rsidRPr="0031508F">
        <w:rPr>
          <w:i/>
        </w:rPr>
        <w:t>and</w:t>
      </w:r>
      <w:proofErr w:type="spellEnd"/>
      <w:r w:rsidR="0031508F" w:rsidRPr="0031508F">
        <w:rPr>
          <w:i/>
        </w:rPr>
        <w:t xml:space="preserve"> Development</w:t>
      </w:r>
      <w:r w:rsidR="0031508F" w:rsidRPr="0031508F">
        <w:t xml:space="preserve">. Dit levert een bijdrage aan de toegang van ontwikkelingslanden tot handel op nationaal, regionaal en mondiaal niveau. Ook wordt bijgedragen aan de </w:t>
      </w:r>
      <w:r w:rsidR="0031508F" w:rsidRPr="0031508F">
        <w:rPr>
          <w:i/>
        </w:rPr>
        <w:t xml:space="preserve">Trade </w:t>
      </w:r>
      <w:proofErr w:type="spellStart"/>
      <w:r w:rsidR="0031508F" w:rsidRPr="0031508F">
        <w:rPr>
          <w:i/>
        </w:rPr>
        <w:t>Facilitation</w:t>
      </w:r>
      <w:proofErr w:type="spellEnd"/>
      <w:r w:rsidR="0031508F" w:rsidRPr="0031508F">
        <w:rPr>
          <w:i/>
        </w:rPr>
        <w:t xml:space="preserve"> Facility</w:t>
      </w:r>
      <w:r w:rsidR="0031508F" w:rsidRPr="0031508F">
        <w:t xml:space="preserve">, een fonds dat tot doel heeft de concurrentiepositie van ontwikkelingslanden te versterken via verbeteringen van de </w:t>
      </w:r>
      <w:proofErr w:type="spellStart"/>
      <w:r w:rsidR="0031508F" w:rsidRPr="0031508F">
        <w:t>handelsfacilitatiesystemen</w:t>
      </w:r>
      <w:proofErr w:type="spellEnd"/>
      <w:r w:rsidR="0031508F" w:rsidRPr="0031508F">
        <w:t xml:space="preserve"> en via het verlagen van de kosten van handel. Andere voorbeelden zijn het </w:t>
      </w:r>
      <w:r w:rsidR="0031508F" w:rsidRPr="0031508F">
        <w:rPr>
          <w:i/>
        </w:rPr>
        <w:t>Agricultural Risk Management Program</w:t>
      </w:r>
      <w:r w:rsidR="0031508F" w:rsidRPr="0031508F">
        <w:t xml:space="preserve"> (ten behoeve van het verkleinen van risico’s voor kleine boeren). Ten behoeve van het MKB in ontwikkelingslanden is Nederland actief in </w:t>
      </w:r>
      <w:r w:rsidR="0031508F" w:rsidRPr="0031508F">
        <w:rPr>
          <w:i/>
        </w:rPr>
        <w:t xml:space="preserve">financial </w:t>
      </w:r>
      <w:proofErr w:type="spellStart"/>
      <w:r w:rsidR="0031508F" w:rsidRPr="0031508F">
        <w:rPr>
          <w:i/>
        </w:rPr>
        <w:t>inclusion</w:t>
      </w:r>
      <w:proofErr w:type="spellEnd"/>
      <w:r w:rsidR="0031508F" w:rsidRPr="0031508F">
        <w:t xml:space="preserve"> en </w:t>
      </w:r>
      <w:r w:rsidR="0031508F" w:rsidRPr="0031508F">
        <w:rPr>
          <w:i/>
        </w:rPr>
        <w:t xml:space="preserve">access </w:t>
      </w:r>
      <w:proofErr w:type="spellStart"/>
      <w:r w:rsidR="0031508F" w:rsidRPr="0031508F">
        <w:rPr>
          <w:i/>
        </w:rPr>
        <w:t>to</w:t>
      </w:r>
      <w:proofErr w:type="spellEnd"/>
      <w:r w:rsidR="0031508F" w:rsidRPr="0031508F">
        <w:rPr>
          <w:i/>
        </w:rPr>
        <w:t xml:space="preserve"> </w:t>
      </w:r>
      <w:proofErr w:type="spellStart"/>
      <w:r w:rsidR="0031508F" w:rsidRPr="0031508F">
        <w:rPr>
          <w:i/>
        </w:rPr>
        <w:t>finance</w:t>
      </w:r>
      <w:proofErr w:type="spellEnd"/>
      <w:r w:rsidR="0031508F" w:rsidRPr="0031508F">
        <w:t xml:space="preserve"> initiatieven van de Bank. Met een bijdrage van USD 25 miljoen is Nederland de grootste donor van het </w:t>
      </w:r>
      <w:r w:rsidR="0031508F" w:rsidRPr="0031508F">
        <w:rPr>
          <w:i/>
        </w:rPr>
        <w:t xml:space="preserve">Financial </w:t>
      </w:r>
      <w:proofErr w:type="spellStart"/>
      <w:r w:rsidR="0031508F" w:rsidRPr="0031508F">
        <w:rPr>
          <w:i/>
        </w:rPr>
        <w:t>Inclusion</w:t>
      </w:r>
      <w:proofErr w:type="spellEnd"/>
      <w:r w:rsidR="0031508F" w:rsidRPr="0031508F">
        <w:rPr>
          <w:i/>
        </w:rPr>
        <w:t xml:space="preserve"> Support Framework</w:t>
      </w:r>
      <w:r w:rsidR="0031508F" w:rsidRPr="0031508F">
        <w:t xml:space="preserve"> (FISF) programma. Andere donor is de </w:t>
      </w:r>
      <w:r w:rsidR="0031508F" w:rsidRPr="0031508F">
        <w:rPr>
          <w:i/>
        </w:rPr>
        <w:t xml:space="preserve">Bill </w:t>
      </w:r>
      <w:proofErr w:type="spellStart"/>
      <w:r w:rsidR="0031508F" w:rsidRPr="0031508F">
        <w:rPr>
          <w:i/>
        </w:rPr>
        <w:t>and</w:t>
      </w:r>
      <w:proofErr w:type="spellEnd"/>
      <w:r w:rsidR="0031508F" w:rsidRPr="0031508F">
        <w:rPr>
          <w:i/>
        </w:rPr>
        <w:t xml:space="preserve"> Melinda Gates Foundation</w:t>
      </w:r>
      <w:r w:rsidR="0031508F" w:rsidRPr="0031508F">
        <w:t xml:space="preserve">. Voorts is Nederland de </w:t>
      </w:r>
      <w:r w:rsidR="0031508F" w:rsidRPr="0031508F">
        <w:lastRenderedPageBreak/>
        <w:t xml:space="preserve">grootste donor van het </w:t>
      </w:r>
      <w:r w:rsidR="0031508F" w:rsidRPr="0031508F">
        <w:rPr>
          <w:i/>
        </w:rPr>
        <w:t xml:space="preserve">Financial Sector Reform &amp; </w:t>
      </w:r>
      <w:proofErr w:type="spellStart"/>
      <w:r w:rsidR="0031508F" w:rsidRPr="0031508F">
        <w:rPr>
          <w:i/>
        </w:rPr>
        <w:t>Strengthening</w:t>
      </w:r>
      <w:proofErr w:type="spellEnd"/>
      <w:r w:rsidR="0031508F" w:rsidRPr="0031508F">
        <w:rPr>
          <w:i/>
        </w:rPr>
        <w:t xml:space="preserve"> </w:t>
      </w:r>
      <w:proofErr w:type="spellStart"/>
      <w:r w:rsidR="0031508F" w:rsidRPr="0031508F">
        <w:rPr>
          <w:i/>
        </w:rPr>
        <w:t>Initiative</w:t>
      </w:r>
      <w:proofErr w:type="spellEnd"/>
      <w:r w:rsidR="0031508F" w:rsidRPr="0031508F">
        <w:t xml:space="preserve"> (FIRST), waarbij IMF uitvoerder is naast de WB</w:t>
      </w:r>
      <w:r w:rsidR="0031508F">
        <w:t>G</w:t>
      </w:r>
      <w:r w:rsidR="0031508F" w:rsidRPr="0031508F">
        <w:t xml:space="preserve">. </w:t>
      </w:r>
      <w:proofErr w:type="spellStart"/>
      <w:r w:rsidR="0031508F" w:rsidRPr="00E671F4">
        <w:rPr>
          <w:i/>
        </w:rPr>
        <w:t>Mid</w:t>
      </w:r>
      <w:proofErr w:type="spellEnd"/>
      <w:r w:rsidR="0031508F" w:rsidRPr="00E671F4">
        <w:rPr>
          <w:i/>
        </w:rPr>
        <w:t xml:space="preserve"> Term Reviews</w:t>
      </w:r>
      <w:r w:rsidR="0031508F" w:rsidRPr="0031508F">
        <w:t xml:space="preserve"> in 2017 zullen duidelijk moeten maken wat de resultaten van de technische assistentieprogramma’s FISF en FIRST zijn.</w:t>
      </w:r>
    </w:p>
    <w:p w14:paraId="7B5742F7" w14:textId="55DEED28" w:rsidR="007816ED" w:rsidRDefault="007816ED" w:rsidP="00560B07"/>
    <w:p w14:paraId="11951C55" w14:textId="77777777" w:rsidR="00560B07" w:rsidRPr="00560B07" w:rsidRDefault="00560B07" w:rsidP="00560B07">
      <w:pPr>
        <w:rPr>
          <w:u w:val="single"/>
        </w:rPr>
      </w:pPr>
      <w:r w:rsidRPr="00560B07">
        <w:rPr>
          <w:u w:val="single"/>
        </w:rPr>
        <w:t xml:space="preserve">Humanitaire hulp </w:t>
      </w:r>
    </w:p>
    <w:p w14:paraId="206CAC77" w14:textId="4AC5C142" w:rsidR="00560B07" w:rsidRDefault="00560B07" w:rsidP="00560B07">
      <w:r w:rsidRPr="00560B07">
        <w:rPr>
          <w:i/>
        </w:rPr>
        <w:t>Beperkt relevant.</w:t>
      </w:r>
      <w:r>
        <w:t xml:space="preserve"> </w:t>
      </w:r>
      <w:r w:rsidR="00FA7C1A">
        <w:t xml:space="preserve">In het licht van de intentie om de samenhang tussen humanitaire hulp, ontwikkelingssamenwerking en vredesopbouw te versterken neemt de Bank een aanjagende rol op zich. Zo </w:t>
      </w:r>
      <w:r>
        <w:t xml:space="preserve">komt er </w:t>
      </w:r>
      <w:r w:rsidRPr="00DE129C">
        <w:t xml:space="preserve">extra aandacht voor crisisrespons –en paraatheid. Onder het huidige </w:t>
      </w:r>
      <w:r w:rsidRPr="00DE129C">
        <w:rPr>
          <w:i/>
        </w:rPr>
        <w:t xml:space="preserve">Crisis Response </w:t>
      </w:r>
      <w:proofErr w:type="spellStart"/>
      <w:r w:rsidRPr="00DE129C">
        <w:rPr>
          <w:i/>
        </w:rPr>
        <w:t>Window</w:t>
      </w:r>
      <w:proofErr w:type="spellEnd"/>
      <w:r w:rsidRPr="00DE129C">
        <w:t xml:space="preserve"> k</w:t>
      </w:r>
      <w:r>
        <w:t>a</w:t>
      </w:r>
      <w:r w:rsidRPr="00DE129C">
        <w:t xml:space="preserve">n de Bank snel geld mobiliseren voor het aanpakken van </w:t>
      </w:r>
      <w:r>
        <w:t xml:space="preserve">crises zoals bijvoorbeeld de </w:t>
      </w:r>
      <w:r w:rsidRPr="00DE129C">
        <w:t>Ebola-crisis</w:t>
      </w:r>
      <w:r>
        <w:t>, het verlenen van steun na de overstromingen in Bangladesh</w:t>
      </w:r>
      <w:r w:rsidRPr="00DE129C">
        <w:t xml:space="preserve"> of de aardbeving in Nepal. Onder IDA18 </w:t>
      </w:r>
      <w:r>
        <w:t xml:space="preserve">(2017-2020) </w:t>
      </w:r>
      <w:r w:rsidRPr="00DE129C">
        <w:t xml:space="preserve">gaat de Bank zogenaamde CAT </w:t>
      </w:r>
      <w:proofErr w:type="spellStart"/>
      <w:r w:rsidRPr="00DE129C">
        <w:t>DDOs</w:t>
      </w:r>
      <w:proofErr w:type="spellEnd"/>
      <w:r w:rsidRPr="00DE129C">
        <w:t xml:space="preserve"> (</w:t>
      </w:r>
      <w:proofErr w:type="spellStart"/>
      <w:r w:rsidRPr="00E671F4">
        <w:rPr>
          <w:i/>
        </w:rPr>
        <w:t>Catastrophe</w:t>
      </w:r>
      <w:proofErr w:type="spellEnd"/>
      <w:r w:rsidRPr="00E671F4">
        <w:rPr>
          <w:i/>
        </w:rPr>
        <w:t xml:space="preserve"> </w:t>
      </w:r>
      <w:proofErr w:type="spellStart"/>
      <w:r w:rsidRPr="00E671F4">
        <w:rPr>
          <w:i/>
        </w:rPr>
        <w:t>Deferred</w:t>
      </w:r>
      <w:proofErr w:type="spellEnd"/>
      <w:r w:rsidRPr="00E671F4">
        <w:rPr>
          <w:i/>
        </w:rPr>
        <w:t xml:space="preserve"> </w:t>
      </w:r>
      <w:proofErr w:type="spellStart"/>
      <w:r w:rsidRPr="00E671F4">
        <w:rPr>
          <w:i/>
        </w:rPr>
        <w:t>Drawdown</w:t>
      </w:r>
      <w:proofErr w:type="spellEnd"/>
      <w:r w:rsidRPr="00E671F4">
        <w:rPr>
          <w:i/>
        </w:rPr>
        <w:t xml:space="preserve"> Options</w:t>
      </w:r>
      <w:r w:rsidRPr="00DE129C">
        <w:t xml:space="preserve">) uitbrengen, </w:t>
      </w:r>
      <w:r w:rsidRPr="0077045A">
        <w:t>hetgeen wordt beschouwd als één van de innovatieve manieren om humanitaire crises door private partijen te financieren.</w:t>
      </w:r>
      <w:r>
        <w:t xml:space="preserve"> Naar aanleiding van de VN Humanitaire Top heeft de Bank het </w:t>
      </w:r>
      <w:r w:rsidRPr="003878BF">
        <w:rPr>
          <w:i/>
        </w:rPr>
        <w:t>Global Crisis Response Platform</w:t>
      </w:r>
      <w:r>
        <w:rPr>
          <w:i/>
        </w:rPr>
        <w:t xml:space="preserve"> </w:t>
      </w:r>
      <w:r>
        <w:t>opgericht zodat vele ad hoc initiatieven en instrumenten van de Bank op het terrein van crisispreventie en –respons systematischer op elkaar aansluiten. Tenslotte heeft de B</w:t>
      </w:r>
      <w:r w:rsidRPr="0077045A">
        <w:t>ank een standing “</w:t>
      </w:r>
      <w:proofErr w:type="spellStart"/>
      <w:r w:rsidRPr="00E671F4">
        <w:rPr>
          <w:i/>
        </w:rPr>
        <w:t>invitation</w:t>
      </w:r>
      <w:proofErr w:type="spellEnd"/>
      <w:r w:rsidRPr="0077045A">
        <w:t xml:space="preserve">” bij de VN </w:t>
      </w:r>
      <w:proofErr w:type="spellStart"/>
      <w:r w:rsidRPr="00E671F4">
        <w:rPr>
          <w:i/>
        </w:rPr>
        <w:t>Inter</w:t>
      </w:r>
      <w:proofErr w:type="spellEnd"/>
      <w:r w:rsidRPr="00E671F4">
        <w:rPr>
          <w:i/>
        </w:rPr>
        <w:t xml:space="preserve"> Agency Standing </w:t>
      </w:r>
      <w:proofErr w:type="spellStart"/>
      <w:r w:rsidRPr="00E671F4">
        <w:rPr>
          <w:i/>
        </w:rPr>
        <w:t>Committee</w:t>
      </w:r>
      <w:proofErr w:type="spellEnd"/>
      <w:r>
        <w:t xml:space="preserve"> (IASC).</w:t>
      </w:r>
    </w:p>
    <w:p w14:paraId="130EF650" w14:textId="3C8751F5" w:rsidR="00560B07" w:rsidRDefault="00560B07" w:rsidP="007816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1904"/>
        <w:gridCol w:w="1929"/>
        <w:gridCol w:w="1895"/>
      </w:tblGrid>
      <w:tr w:rsidR="00C5757D" w14:paraId="26DFBE90" w14:textId="77777777" w:rsidTr="00F2099E">
        <w:tc>
          <w:tcPr>
            <w:tcW w:w="7697" w:type="dxa"/>
            <w:gridSpan w:val="4"/>
            <w:tcBorders>
              <w:top w:val="single" w:sz="12" w:space="0" w:color="auto"/>
              <w:left w:val="single" w:sz="12" w:space="0" w:color="auto"/>
              <w:right w:val="single" w:sz="12" w:space="0" w:color="auto"/>
            </w:tcBorders>
            <w:shd w:val="clear" w:color="auto" w:fill="BFBFBF" w:themeFill="background1" w:themeFillShade="BF"/>
          </w:tcPr>
          <w:p w14:paraId="094B3FEB" w14:textId="5F5D5EC6" w:rsidR="00C5757D" w:rsidRPr="00792AB2" w:rsidRDefault="00C5757D" w:rsidP="00C5757D">
            <w:pPr>
              <w:rPr>
                <w:b/>
              </w:rPr>
            </w:pPr>
            <w:r>
              <w:rPr>
                <w:b/>
              </w:rPr>
              <w:t>Relevantie voor de Nederlandse BHOS-prioriteiten</w:t>
            </w:r>
          </w:p>
        </w:tc>
      </w:tr>
      <w:tr w:rsidR="007816ED" w14:paraId="74FFFBDF" w14:textId="77777777" w:rsidTr="00F2099E">
        <w:tc>
          <w:tcPr>
            <w:tcW w:w="1969" w:type="dxa"/>
            <w:tcBorders>
              <w:top w:val="single" w:sz="12" w:space="0" w:color="auto"/>
              <w:left w:val="single" w:sz="12" w:space="0" w:color="auto"/>
              <w:bottom w:val="single" w:sz="12" w:space="0" w:color="auto"/>
            </w:tcBorders>
            <w:shd w:val="clear" w:color="auto" w:fill="BFBFBF" w:themeFill="background1" w:themeFillShade="BF"/>
          </w:tcPr>
          <w:p w14:paraId="709E69E2" w14:textId="77777777" w:rsidR="007816ED" w:rsidRPr="00792AB2" w:rsidRDefault="007816ED" w:rsidP="007816ED">
            <w:pPr>
              <w:rPr>
                <w:b/>
                <w:i/>
              </w:rPr>
            </w:pPr>
          </w:p>
        </w:tc>
        <w:tc>
          <w:tcPr>
            <w:tcW w:w="1904" w:type="dxa"/>
            <w:tcBorders>
              <w:top w:val="single" w:sz="12" w:space="0" w:color="auto"/>
              <w:bottom w:val="single" w:sz="12" w:space="0" w:color="auto"/>
            </w:tcBorders>
            <w:shd w:val="clear" w:color="auto" w:fill="BFBFBF" w:themeFill="background1" w:themeFillShade="BF"/>
          </w:tcPr>
          <w:p w14:paraId="0850FF90" w14:textId="77777777" w:rsidR="007816ED" w:rsidRPr="00792AB2" w:rsidRDefault="007816ED" w:rsidP="007816ED">
            <w:pPr>
              <w:rPr>
                <w:b/>
              </w:rPr>
            </w:pPr>
            <w:r w:rsidRPr="00792AB2">
              <w:rPr>
                <w:b/>
              </w:rPr>
              <w:t>Uitvoerend</w:t>
            </w:r>
          </w:p>
        </w:tc>
        <w:tc>
          <w:tcPr>
            <w:tcW w:w="1929" w:type="dxa"/>
            <w:tcBorders>
              <w:top w:val="single" w:sz="12" w:space="0" w:color="auto"/>
              <w:bottom w:val="single" w:sz="12" w:space="0" w:color="auto"/>
            </w:tcBorders>
            <w:shd w:val="clear" w:color="auto" w:fill="BFBFBF" w:themeFill="background1" w:themeFillShade="BF"/>
          </w:tcPr>
          <w:p w14:paraId="2668DF8D" w14:textId="77777777" w:rsidR="007816ED" w:rsidRPr="00792AB2" w:rsidRDefault="007816ED" w:rsidP="007816ED">
            <w:pPr>
              <w:rPr>
                <w:b/>
              </w:rPr>
            </w:pPr>
            <w:r w:rsidRPr="00792AB2">
              <w:rPr>
                <w:b/>
              </w:rPr>
              <w:t>Coördinerend</w:t>
            </w:r>
          </w:p>
        </w:tc>
        <w:tc>
          <w:tcPr>
            <w:tcW w:w="1895" w:type="dxa"/>
            <w:tcBorders>
              <w:top w:val="single" w:sz="12" w:space="0" w:color="auto"/>
              <w:bottom w:val="single" w:sz="12" w:space="0" w:color="auto"/>
              <w:right w:val="single" w:sz="12" w:space="0" w:color="auto"/>
            </w:tcBorders>
            <w:shd w:val="clear" w:color="auto" w:fill="BFBFBF" w:themeFill="background1" w:themeFillShade="BF"/>
          </w:tcPr>
          <w:p w14:paraId="2054EC75" w14:textId="77777777" w:rsidR="007816ED" w:rsidRPr="00792AB2" w:rsidRDefault="007816ED" w:rsidP="007816ED">
            <w:pPr>
              <w:rPr>
                <w:b/>
              </w:rPr>
            </w:pPr>
            <w:r w:rsidRPr="00792AB2">
              <w:rPr>
                <w:b/>
              </w:rPr>
              <w:t>Normatief</w:t>
            </w:r>
          </w:p>
        </w:tc>
      </w:tr>
      <w:tr w:rsidR="007816ED" w14:paraId="2B6ED3BC" w14:textId="77777777" w:rsidTr="00C251F6">
        <w:tc>
          <w:tcPr>
            <w:tcW w:w="1969" w:type="dxa"/>
            <w:tcBorders>
              <w:top w:val="single" w:sz="12" w:space="0" w:color="auto"/>
              <w:left w:val="single" w:sz="12" w:space="0" w:color="auto"/>
            </w:tcBorders>
            <w:shd w:val="clear" w:color="auto" w:fill="auto"/>
          </w:tcPr>
          <w:p w14:paraId="1B6EA322" w14:textId="3FCD50FD" w:rsidR="00887CD1" w:rsidRDefault="007816ED" w:rsidP="007816ED">
            <w:r>
              <w:t>Voedselzekerheid</w:t>
            </w:r>
          </w:p>
        </w:tc>
        <w:tc>
          <w:tcPr>
            <w:tcW w:w="1904" w:type="dxa"/>
            <w:tcBorders>
              <w:top w:val="single" w:sz="12" w:space="0" w:color="auto"/>
            </w:tcBorders>
            <w:shd w:val="clear" w:color="auto" w:fill="auto"/>
          </w:tcPr>
          <w:p w14:paraId="7E751269" w14:textId="7E21732B" w:rsidR="007816ED" w:rsidRDefault="00232DB2" w:rsidP="007816ED">
            <w:r>
              <w:t>4</w:t>
            </w:r>
          </w:p>
        </w:tc>
        <w:tc>
          <w:tcPr>
            <w:tcW w:w="1929" w:type="dxa"/>
            <w:tcBorders>
              <w:top w:val="single" w:sz="12" w:space="0" w:color="auto"/>
            </w:tcBorders>
            <w:shd w:val="clear" w:color="auto" w:fill="auto"/>
          </w:tcPr>
          <w:p w14:paraId="6C5035C9" w14:textId="77777777" w:rsidR="007816ED" w:rsidRDefault="007816ED" w:rsidP="007816ED">
            <w:r>
              <w:t>3</w:t>
            </w:r>
          </w:p>
        </w:tc>
        <w:tc>
          <w:tcPr>
            <w:tcW w:w="1895" w:type="dxa"/>
            <w:tcBorders>
              <w:top w:val="single" w:sz="12" w:space="0" w:color="auto"/>
              <w:right w:val="single" w:sz="12" w:space="0" w:color="auto"/>
            </w:tcBorders>
            <w:shd w:val="clear" w:color="auto" w:fill="auto"/>
          </w:tcPr>
          <w:p w14:paraId="5C2C52BC" w14:textId="56EE6BAE" w:rsidR="007816ED" w:rsidRDefault="00232DB2" w:rsidP="007816ED">
            <w:r>
              <w:t>4</w:t>
            </w:r>
          </w:p>
        </w:tc>
      </w:tr>
      <w:tr w:rsidR="007816ED" w14:paraId="61C2E4EA" w14:textId="77777777" w:rsidTr="00C251F6">
        <w:tc>
          <w:tcPr>
            <w:tcW w:w="1969" w:type="dxa"/>
            <w:tcBorders>
              <w:left w:val="single" w:sz="12" w:space="0" w:color="auto"/>
            </w:tcBorders>
            <w:shd w:val="clear" w:color="auto" w:fill="auto"/>
          </w:tcPr>
          <w:p w14:paraId="55BD9A2E" w14:textId="6C55054B" w:rsidR="00887CD1" w:rsidRDefault="007816ED" w:rsidP="007816ED">
            <w:r>
              <w:t>Water</w:t>
            </w:r>
          </w:p>
        </w:tc>
        <w:tc>
          <w:tcPr>
            <w:tcW w:w="1904" w:type="dxa"/>
            <w:shd w:val="clear" w:color="auto" w:fill="auto"/>
          </w:tcPr>
          <w:p w14:paraId="65D0AA1B" w14:textId="59E9A83B" w:rsidR="007816ED" w:rsidRDefault="00232DB2" w:rsidP="007816ED">
            <w:r>
              <w:t>4</w:t>
            </w:r>
          </w:p>
        </w:tc>
        <w:tc>
          <w:tcPr>
            <w:tcW w:w="1929" w:type="dxa"/>
            <w:shd w:val="clear" w:color="auto" w:fill="auto"/>
          </w:tcPr>
          <w:p w14:paraId="111AAE05" w14:textId="77777777" w:rsidR="007816ED" w:rsidRDefault="007816ED" w:rsidP="007816ED">
            <w:r>
              <w:t>3</w:t>
            </w:r>
          </w:p>
        </w:tc>
        <w:tc>
          <w:tcPr>
            <w:tcW w:w="1895" w:type="dxa"/>
            <w:tcBorders>
              <w:right w:val="single" w:sz="12" w:space="0" w:color="auto"/>
            </w:tcBorders>
            <w:shd w:val="clear" w:color="auto" w:fill="auto"/>
          </w:tcPr>
          <w:p w14:paraId="4792B1FC" w14:textId="7413BD7C" w:rsidR="007816ED" w:rsidRDefault="00232DB2" w:rsidP="007816ED">
            <w:r>
              <w:t>4</w:t>
            </w:r>
          </w:p>
        </w:tc>
      </w:tr>
      <w:tr w:rsidR="007816ED" w14:paraId="5010927C" w14:textId="77777777" w:rsidTr="00C251F6">
        <w:tc>
          <w:tcPr>
            <w:tcW w:w="1969" w:type="dxa"/>
            <w:tcBorders>
              <w:left w:val="single" w:sz="12" w:space="0" w:color="auto"/>
            </w:tcBorders>
            <w:shd w:val="clear" w:color="auto" w:fill="auto"/>
          </w:tcPr>
          <w:p w14:paraId="0CD4D315" w14:textId="77777777" w:rsidR="007816ED" w:rsidRDefault="007816ED" w:rsidP="007816ED">
            <w:r>
              <w:t>Veiligheid en rechtsorde</w:t>
            </w:r>
          </w:p>
        </w:tc>
        <w:tc>
          <w:tcPr>
            <w:tcW w:w="1904" w:type="dxa"/>
            <w:shd w:val="clear" w:color="auto" w:fill="auto"/>
          </w:tcPr>
          <w:p w14:paraId="5BB27996" w14:textId="5F482E81" w:rsidR="007816ED" w:rsidRDefault="00232DB2" w:rsidP="007816ED">
            <w:r>
              <w:t>4</w:t>
            </w:r>
          </w:p>
        </w:tc>
        <w:tc>
          <w:tcPr>
            <w:tcW w:w="1929" w:type="dxa"/>
            <w:shd w:val="clear" w:color="auto" w:fill="auto"/>
          </w:tcPr>
          <w:p w14:paraId="68EF48BB" w14:textId="041DACBB" w:rsidR="007816ED" w:rsidRDefault="007816ED" w:rsidP="007816ED"/>
        </w:tc>
        <w:tc>
          <w:tcPr>
            <w:tcW w:w="1895" w:type="dxa"/>
            <w:tcBorders>
              <w:right w:val="single" w:sz="12" w:space="0" w:color="auto"/>
            </w:tcBorders>
            <w:shd w:val="clear" w:color="auto" w:fill="auto"/>
          </w:tcPr>
          <w:p w14:paraId="3EC61496" w14:textId="77777777" w:rsidR="007816ED" w:rsidRDefault="007816ED" w:rsidP="007816ED">
            <w:r>
              <w:t>3</w:t>
            </w:r>
          </w:p>
        </w:tc>
      </w:tr>
      <w:tr w:rsidR="007816ED" w14:paraId="3C3504FF" w14:textId="77777777" w:rsidTr="00C251F6">
        <w:tc>
          <w:tcPr>
            <w:tcW w:w="1969" w:type="dxa"/>
            <w:tcBorders>
              <w:left w:val="single" w:sz="12" w:space="0" w:color="auto"/>
            </w:tcBorders>
            <w:shd w:val="clear" w:color="auto" w:fill="auto"/>
          </w:tcPr>
          <w:p w14:paraId="26D090A4" w14:textId="41F46792" w:rsidR="00887CD1" w:rsidRDefault="007816ED" w:rsidP="007816ED">
            <w:r>
              <w:t>SRGR</w:t>
            </w:r>
          </w:p>
        </w:tc>
        <w:tc>
          <w:tcPr>
            <w:tcW w:w="1904" w:type="dxa"/>
            <w:shd w:val="clear" w:color="auto" w:fill="auto"/>
          </w:tcPr>
          <w:p w14:paraId="2A49A524" w14:textId="77777777" w:rsidR="007816ED" w:rsidRDefault="00EF5548" w:rsidP="007816ED">
            <w:r>
              <w:t>3</w:t>
            </w:r>
          </w:p>
        </w:tc>
        <w:tc>
          <w:tcPr>
            <w:tcW w:w="1929" w:type="dxa"/>
            <w:shd w:val="clear" w:color="auto" w:fill="auto"/>
          </w:tcPr>
          <w:p w14:paraId="66512D71" w14:textId="77777777" w:rsidR="007816ED" w:rsidRDefault="007816ED" w:rsidP="007816ED">
            <w:r>
              <w:t>3</w:t>
            </w:r>
          </w:p>
        </w:tc>
        <w:tc>
          <w:tcPr>
            <w:tcW w:w="1895" w:type="dxa"/>
            <w:tcBorders>
              <w:right w:val="single" w:sz="12" w:space="0" w:color="auto"/>
            </w:tcBorders>
            <w:shd w:val="clear" w:color="auto" w:fill="auto"/>
          </w:tcPr>
          <w:p w14:paraId="5349404F" w14:textId="77777777" w:rsidR="007816ED" w:rsidRDefault="003878BF" w:rsidP="007816ED">
            <w:r>
              <w:t>3</w:t>
            </w:r>
          </w:p>
        </w:tc>
      </w:tr>
      <w:tr w:rsidR="007816ED" w14:paraId="37E03618" w14:textId="77777777" w:rsidTr="00C251F6">
        <w:tc>
          <w:tcPr>
            <w:tcW w:w="1969" w:type="dxa"/>
            <w:tcBorders>
              <w:left w:val="single" w:sz="12" w:space="0" w:color="auto"/>
            </w:tcBorders>
            <w:shd w:val="clear" w:color="auto" w:fill="auto"/>
          </w:tcPr>
          <w:p w14:paraId="590D6C7F" w14:textId="2F5C09A0" w:rsidR="00887CD1" w:rsidRDefault="007816ED" w:rsidP="007816ED">
            <w:r>
              <w:t>Gendergelijkheid</w:t>
            </w:r>
          </w:p>
        </w:tc>
        <w:tc>
          <w:tcPr>
            <w:tcW w:w="1904" w:type="dxa"/>
            <w:shd w:val="clear" w:color="auto" w:fill="auto"/>
          </w:tcPr>
          <w:p w14:paraId="73083760" w14:textId="76CA235F" w:rsidR="007816ED" w:rsidRDefault="00FC4924" w:rsidP="007816ED">
            <w:r>
              <w:t>4</w:t>
            </w:r>
          </w:p>
        </w:tc>
        <w:tc>
          <w:tcPr>
            <w:tcW w:w="1929" w:type="dxa"/>
            <w:shd w:val="clear" w:color="auto" w:fill="auto"/>
          </w:tcPr>
          <w:p w14:paraId="1D4145A7" w14:textId="77777777" w:rsidR="007816ED" w:rsidRDefault="007816ED" w:rsidP="007816ED">
            <w:r>
              <w:t>3</w:t>
            </w:r>
          </w:p>
        </w:tc>
        <w:tc>
          <w:tcPr>
            <w:tcW w:w="1895" w:type="dxa"/>
            <w:tcBorders>
              <w:right w:val="single" w:sz="12" w:space="0" w:color="auto"/>
            </w:tcBorders>
            <w:shd w:val="clear" w:color="auto" w:fill="auto"/>
          </w:tcPr>
          <w:p w14:paraId="6C19E12C" w14:textId="77777777" w:rsidR="007816ED" w:rsidRDefault="007816ED" w:rsidP="007816ED">
            <w:r>
              <w:t>4</w:t>
            </w:r>
          </w:p>
        </w:tc>
      </w:tr>
      <w:tr w:rsidR="007816ED" w14:paraId="0F739C46" w14:textId="77777777" w:rsidTr="00C251F6">
        <w:tc>
          <w:tcPr>
            <w:tcW w:w="1969" w:type="dxa"/>
            <w:tcBorders>
              <w:left w:val="single" w:sz="12" w:space="0" w:color="auto"/>
            </w:tcBorders>
            <w:shd w:val="clear" w:color="auto" w:fill="auto"/>
          </w:tcPr>
          <w:p w14:paraId="2F87F9C8" w14:textId="7CECECB8" w:rsidR="00887CD1" w:rsidRDefault="007816ED" w:rsidP="007816ED">
            <w:r>
              <w:t>Klimaat</w:t>
            </w:r>
          </w:p>
        </w:tc>
        <w:tc>
          <w:tcPr>
            <w:tcW w:w="1904" w:type="dxa"/>
            <w:shd w:val="clear" w:color="auto" w:fill="auto"/>
          </w:tcPr>
          <w:p w14:paraId="0E8636F1" w14:textId="365480ED" w:rsidR="007816ED" w:rsidRDefault="00FC4924" w:rsidP="007816ED">
            <w:r>
              <w:t>4</w:t>
            </w:r>
          </w:p>
        </w:tc>
        <w:tc>
          <w:tcPr>
            <w:tcW w:w="1929" w:type="dxa"/>
            <w:shd w:val="clear" w:color="auto" w:fill="auto"/>
          </w:tcPr>
          <w:p w14:paraId="4DF66164" w14:textId="77777777" w:rsidR="007816ED" w:rsidRDefault="007816ED" w:rsidP="007816ED">
            <w:r>
              <w:t>3</w:t>
            </w:r>
          </w:p>
        </w:tc>
        <w:tc>
          <w:tcPr>
            <w:tcW w:w="1895" w:type="dxa"/>
            <w:tcBorders>
              <w:right w:val="single" w:sz="12" w:space="0" w:color="auto"/>
            </w:tcBorders>
            <w:shd w:val="clear" w:color="auto" w:fill="auto"/>
          </w:tcPr>
          <w:p w14:paraId="000308C2" w14:textId="7147C67C" w:rsidR="007816ED" w:rsidRDefault="00FC4924" w:rsidP="007816ED">
            <w:r>
              <w:t>4</w:t>
            </w:r>
          </w:p>
        </w:tc>
      </w:tr>
      <w:tr w:rsidR="007816ED" w14:paraId="7A221A70" w14:textId="77777777" w:rsidTr="00C251F6">
        <w:tc>
          <w:tcPr>
            <w:tcW w:w="1969" w:type="dxa"/>
            <w:tcBorders>
              <w:left w:val="single" w:sz="12" w:space="0" w:color="auto"/>
              <w:bottom w:val="single" w:sz="12" w:space="0" w:color="auto"/>
            </w:tcBorders>
            <w:shd w:val="clear" w:color="auto" w:fill="auto"/>
          </w:tcPr>
          <w:p w14:paraId="613ED9D5" w14:textId="5410C8A9" w:rsidR="007816ED" w:rsidRDefault="007816ED" w:rsidP="00887CD1">
            <w:r>
              <w:t xml:space="preserve">Private sector </w:t>
            </w:r>
            <w:r w:rsidR="00887CD1">
              <w:t>ontwikkeling</w:t>
            </w:r>
          </w:p>
        </w:tc>
        <w:tc>
          <w:tcPr>
            <w:tcW w:w="1904" w:type="dxa"/>
            <w:tcBorders>
              <w:bottom w:val="single" w:sz="12" w:space="0" w:color="auto"/>
            </w:tcBorders>
            <w:shd w:val="clear" w:color="auto" w:fill="auto"/>
          </w:tcPr>
          <w:p w14:paraId="4337B514" w14:textId="4BA80DB6" w:rsidR="007816ED" w:rsidRDefault="00FC4924" w:rsidP="007816ED">
            <w:r>
              <w:t>4</w:t>
            </w:r>
          </w:p>
        </w:tc>
        <w:tc>
          <w:tcPr>
            <w:tcW w:w="1929" w:type="dxa"/>
            <w:tcBorders>
              <w:bottom w:val="single" w:sz="12" w:space="0" w:color="auto"/>
            </w:tcBorders>
            <w:shd w:val="clear" w:color="auto" w:fill="auto"/>
          </w:tcPr>
          <w:p w14:paraId="4B2AA99D" w14:textId="77777777" w:rsidR="007816ED" w:rsidRDefault="007816ED" w:rsidP="007816ED">
            <w:r>
              <w:t>3</w:t>
            </w:r>
          </w:p>
        </w:tc>
        <w:tc>
          <w:tcPr>
            <w:tcW w:w="1895" w:type="dxa"/>
            <w:tcBorders>
              <w:bottom w:val="single" w:sz="12" w:space="0" w:color="auto"/>
              <w:right w:val="single" w:sz="12" w:space="0" w:color="auto"/>
            </w:tcBorders>
            <w:shd w:val="clear" w:color="auto" w:fill="auto"/>
          </w:tcPr>
          <w:p w14:paraId="3EB9D4B6" w14:textId="77777777" w:rsidR="007816ED" w:rsidRDefault="007816ED" w:rsidP="007816ED">
            <w:r>
              <w:t>4</w:t>
            </w:r>
          </w:p>
        </w:tc>
      </w:tr>
    </w:tbl>
    <w:p w14:paraId="3D2099F2" w14:textId="77777777" w:rsidR="007816ED" w:rsidRPr="00EE366A" w:rsidRDefault="007816ED" w:rsidP="007816ED">
      <w:pPr>
        <w:rPr>
          <w:b/>
        </w:rPr>
      </w:pPr>
    </w:p>
    <w:p w14:paraId="6B69803D" w14:textId="0D0BC6B3" w:rsidR="00EE366A" w:rsidRPr="00EE366A" w:rsidRDefault="00BC3A3B" w:rsidP="00BC3A3B">
      <w:pPr>
        <w:pStyle w:val="Heading2"/>
        <w:ind w:left="-1162"/>
      </w:pPr>
      <w:bookmarkStart w:id="64" w:name="_Toc491439924"/>
      <w:r>
        <w:t>5.2</w:t>
      </w:r>
      <w:r w:rsidR="00EE366A" w:rsidRPr="00EE366A">
        <w:t xml:space="preserve"> </w:t>
      </w:r>
      <w:r>
        <w:t xml:space="preserve">             </w:t>
      </w:r>
      <w:r w:rsidR="00EE366A" w:rsidRPr="00EE366A">
        <w:t>Overige relevantie</w:t>
      </w:r>
      <w:bookmarkEnd w:id="64"/>
      <w:r w:rsidR="00EE366A" w:rsidRPr="00EE366A">
        <w:t xml:space="preserve"> </w:t>
      </w:r>
    </w:p>
    <w:p w14:paraId="174DB6EB" w14:textId="31242D78" w:rsidR="00C64230" w:rsidRPr="00C64230" w:rsidRDefault="00C64230" w:rsidP="00EE366A">
      <w:pPr>
        <w:rPr>
          <w:u w:val="single"/>
        </w:rPr>
      </w:pPr>
      <w:r w:rsidRPr="00C64230">
        <w:rPr>
          <w:u w:val="single"/>
        </w:rPr>
        <w:t>Internationale coördinatie en samenwerking ontwikkelingsbeleid</w:t>
      </w:r>
    </w:p>
    <w:p w14:paraId="1DDB346E" w14:textId="7B65D372" w:rsidR="007819E1" w:rsidRPr="00354C67" w:rsidRDefault="00C64230" w:rsidP="00C64230">
      <w:r w:rsidRPr="00354C67">
        <w:t>De Wereldbank blijft de belangrijkste en grootste speler op het gebied van ontwikkeling en daarmee onmisbaar voo</w:t>
      </w:r>
      <w:r w:rsidR="009B431C" w:rsidRPr="00354C67">
        <w:t>r het BHOS-beleid van Nederland. Met een wereldwijd landennetwerk en omvangrijke middelen speelt de Bank een leidende rol in het internationale ontwikkelingslandschap. Dit vertaalt zich in zowel de beleidsdialoog met ontwikkelingslanden alsook op het gebied van kennisontwikkeling</w:t>
      </w:r>
      <w:r w:rsidR="007819E1" w:rsidRPr="00354C67">
        <w:t>. Hoewel de Bank ook een belangrijke rol speelt bij het samenbrengen van relevante ontwikkelingsactoren, is er wat betreft de samenwerking van de Bank met andere organisaties op landenniveau nog wel vooruitgang te boeken.</w:t>
      </w:r>
    </w:p>
    <w:p w14:paraId="6B2D9698" w14:textId="77777777" w:rsidR="00C64230" w:rsidRDefault="00C64230" w:rsidP="00EE366A"/>
    <w:p w14:paraId="22AA18A3" w14:textId="19B3FA31" w:rsidR="00C64230" w:rsidRPr="00E671F4" w:rsidRDefault="00C64230" w:rsidP="00EE366A">
      <w:pPr>
        <w:rPr>
          <w:i/>
          <w:u w:val="single"/>
        </w:rPr>
      </w:pPr>
      <w:proofErr w:type="spellStart"/>
      <w:r w:rsidRPr="00E671F4">
        <w:rPr>
          <w:i/>
          <w:u w:val="single"/>
        </w:rPr>
        <w:t>Domestic</w:t>
      </w:r>
      <w:proofErr w:type="spellEnd"/>
      <w:r w:rsidRPr="00E671F4">
        <w:rPr>
          <w:i/>
          <w:u w:val="single"/>
        </w:rPr>
        <w:t xml:space="preserve"> resource </w:t>
      </w:r>
      <w:proofErr w:type="spellStart"/>
      <w:r w:rsidRPr="00E671F4">
        <w:rPr>
          <w:i/>
          <w:u w:val="single"/>
        </w:rPr>
        <w:t>mobilisation</w:t>
      </w:r>
      <w:proofErr w:type="spellEnd"/>
    </w:p>
    <w:p w14:paraId="73076A39" w14:textId="0157DC46" w:rsidR="00EE366A" w:rsidRDefault="00EE366A" w:rsidP="00EE366A">
      <w:r>
        <w:t>De Wereldba</w:t>
      </w:r>
      <w:r w:rsidR="00CB4F1C">
        <w:t>n</w:t>
      </w:r>
      <w:r>
        <w:t>k</w:t>
      </w:r>
      <w:r w:rsidRPr="00EE366A">
        <w:t xml:space="preserve"> is nauw betrokken bij de </w:t>
      </w:r>
      <w:proofErr w:type="spellStart"/>
      <w:r w:rsidRPr="00EE366A">
        <w:rPr>
          <w:i/>
        </w:rPr>
        <w:t>financing</w:t>
      </w:r>
      <w:proofErr w:type="spellEnd"/>
      <w:r w:rsidRPr="00EE366A">
        <w:rPr>
          <w:i/>
        </w:rPr>
        <w:t xml:space="preserve"> </w:t>
      </w:r>
      <w:proofErr w:type="spellStart"/>
      <w:r w:rsidRPr="00EE366A">
        <w:rPr>
          <w:i/>
        </w:rPr>
        <w:t>for</w:t>
      </w:r>
      <w:proofErr w:type="spellEnd"/>
      <w:r w:rsidRPr="00EE366A">
        <w:rPr>
          <w:i/>
        </w:rPr>
        <w:t xml:space="preserve"> development</w:t>
      </w:r>
      <w:r w:rsidRPr="00EE366A">
        <w:t xml:space="preserve"> agenda ter uitvoering van de </w:t>
      </w:r>
      <w:proofErr w:type="spellStart"/>
      <w:r w:rsidRPr="00EE366A">
        <w:t>SDGs</w:t>
      </w:r>
      <w:proofErr w:type="spellEnd"/>
      <w:r w:rsidRPr="00EE366A">
        <w:t xml:space="preserve">. </w:t>
      </w:r>
      <w:r w:rsidR="00CB4F1C">
        <w:t xml:space="preserve">De Wereldbank heeft </w:t>
      </w:r>
      <w:r w:rsidRPr="00EE366A">
        <w:t xml:space="preserve">met name op het gebied van </w:t>
      </w:r>
      <w:proofErr w:type="spellStart"/>
      <w:r w:rsidRPr="00EE366A">
        <w:rPr>
          <w:i/>
        </w:rPr>
        <w:lastRenderedPageBreak/>
        <w:t>domestic</w:t>
      </w:r>
      <w:proofErr w:type="spellEnd"/>
      <w:r w:rsidRPr="00EE366A">
        <w:rPr>
          <w:i/>
        </w:rPr>
        <w:t xml:space="preserve"> resource </w:t>
      </w:r>
      <w:proofErr w:type="spellStart"/>
      <w:r w:rsidRPr="00EE366A">
        <w:rPr>
          <w:i/>
        </w:rPr>
        <w:t>mobilization</w:t>
      </w:r>
      <w:proofErr w:type="spellEnd"/>
      <w:r w:rsidRPr="00EE366A">
        <w:t xml:space="preserve"> samen met </w:t>
      </w:r>
      <w:r w:rsidR="00CB4F1C">
        <w:t>het IMF</w:t>
      </w:r>
      <w:r w:rsidRPr="00EE366A">
        <w:t xml:space="preserve"> een voortrekkersrol, </w:t>
      </w:r>
      <w:r w:rsidR="00CB4F1C">
        <w:t xml:space="preserve">o.a. </w:t>
      </w:r>
      <w:r w:rsidRPr="00EE366A">
        <w:t xml:space="preserve">door actieve betrokkenheid bij het </w:t>
      </w:r>
      <w:r w:rsidRPr="00EE366A">
        <w:rPr>
          <w:i/>
        </w:rPr>
        <w:t xml:space="preserve">Addis Tax </w:t>
      </w:r>
      <w:proofErr w:type="spellStart"/>
      <w:r w:rsidRPr="00EE366A">
        <w:rPr>
          <w:i/>
        </w:rPr>
        <w:t>Inititiative</w:t>
      </w:r>
      <w:proofErr w:type="spellEnd"/>
      <w:r w:rsidR="00CB4F1C">
        <w:rPr>
          <w:i/>
        </w:rPr>
        <w:t>.</w:t>
      </w:r>
      <w:r w:rsidR="00CB4F1C">
        <w:t xml:space="preserve"> Door </w:t>
      </w:r>
      <w:r w:rsidR="00CB4F1C" w:rsidRPr="00CB4F1C">
        <w:t xml:space="preserve">handel en duurzame investeringen </w:t>
      </w:r>
      <w:r w:rsidR="00CB4F1C">
        <w:t xml:space="preserve">te </w:t>
      </w:r>
      <w:r w:rsidR="00CB4F1C" w:rsidRPr="00CB4F1C">
        <w:t xml:space="preserve">koppelen aan een beter belastingbeleid en belastinginning, worden landen in staat gesteld om zelf meer bij te dragen aan hun ontwikkeling. Daarmee kunnen ze </w:t>
      </w:r>
      <w:r w:rsidR="00CB4F1C">
        <w:t xml:space="preserve">sociale voorzieningen verbeteren en </w:t>
      </w:r>
      <w:r w:rsidR="00CB4F1C" w:rsidRPr="00CB4F1C">
        <w:t xml:space="preserve">stappen </w:t>
      </w:r>
      <w:r w:rsidR="00CB4F1C">
        <w:t>zetten in de armoedebestrijding.</w:t>
      </w:r>
    </w:p>
    <w:p w14:paraId="7E82F441" w14:textId="77777777" w:rsidR="00EE366A" w:rsidRPr="00EE366A" w:rsidRDefault="00EE366A" w:rsidP="00EE36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899"/>
        <w:gridCol w:w="1926"/>
        <w:gridCol w:w="1888"/>
      </w:tblGrid>
      <w:tr w:rsidR="00F2099E" w:rsidRPr="00EE366A" w14:paraId="2F08C10A" w14:textId="77777777" w:rsidTr="009B431C">
        <w:tc>
          <w:tcPr>
            <w:tcW w:w="769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16D61C4F" w14:textId="6D297F75" w:rsidR="00F2099E" w:rsidRPr="00EE366A" w:rsidRDefault="00F2099E" w:rsidP="00F2099E">
            <w:pPr>
              <w:rPr>
                <w:b/>
              </w:rPr>
            </w:pPr>
            <w:r>
              <w:rPr>
                <w:b/>
              </w:rPr>
              <w:t>Overige relevantie</w:t>
            </w:r>
          </w:p>
        </w:tc>
      </w:tr>
      <w:tr w:rsidR="00EE366A" w:rsidRPr="00EE366A" w14:paraId="3061D3A6" w14:textId="77777777" w:rsidTr="00F2099E">
        <w:tc>
          <w:tcPr>
            <w:tcW w:w="1920" w:type="dxa"/>
            <w:tcBorders>
              <w:top w:val="single" w:sz="12" w:space="0" w:color="auto"/>
              <w:left w:val="single" w:sz="12" w:space="0" w:color="auto"/>
              <w:bottom w:val="single" w:sz="12" w:space="0" w:color="auto"/>
            </w:tcBorders>
            <w:shd w:val="clear" w:color="auto" w:fill="BFBFBF" w:themeFill="background1" w:themeFillShade="BF"/>
          </w:tcPr>
          <w:p w14:paraId="00E16305" w14:textId="77777777" w:rsidR="00EE366A" w:rsidRPr="00EE366A" w:rsidRDefault="00EE366A" w:rsidP="00EE366A">
            <w:pPr>
              <w:rPr>
                <w:i/>
              </w:rPr>
            </w:pPr>
          </w:p>
        </w:tc>
        <w:tc>
          <w:tcPr>
            <w:tcW w:w="1922" w:type="dxa"/>
            <w:tcBorders>
              <w:top w:val="single" w:sz="12" w:space="0" w:color="auto"/>
              <w:bottom w:val="single" w:sz="12" w:space="0" w:color="auto"/>
            </w:tcBorders>
            <w:shd w:val="clear" w:color="auto" w:fill="BFBFBF" w:themeFill="background1" w:themeFillShade="BF"/>
          </w:tcPr>
          <w:p w14:paraId="61A05E9A" w14:textId="77777777" w:rsidR="00EE366A" w:rsidRPr="00EE366A" w:rsidRDefault="00EE366A" w:rsidP="00EE366A">
            <w:pPr>
              <w:rPr>
                <w:b/>
              </w:rPr>
            </w:pPr>
            <w:r w:rsidRPr="00EE366A">
              <w:rPr>
                <w:b/>
              </w:rPr>
              <w:t>Uitvoerend</w:t>
            </w:r>
          </w:p>
        </w:tc>
        <w:tc>
          <w:tcPr>
            <w:tcW w:w="1940" w:type="dxa"/>
            <w:tcBorders>
              <w:top w:val="single" w:sz="12" w:space="0" w:color="auto"/>
              <w:bottom w:val="single" w:sz="12" w:space="0" w:color="auto"/>
            </w:tcBorders>
            <w:shd w:val="clear" w:color="auto" w:fill="BFBFBF" w:themeFill="background1" w:themeFillShade="BF"/>
          </w:tcPr>
          <w:p w14:paraId="605A2518" w14:textId="77777777" w:rsidR="00EE366A" w:rsidRPr="00EE366A" w:rsidRDefault="00EE366A" w:rsidP="00EE366A">
            <w:pPr>
              <w:rPr>
                <w:b/>
              </w:rPr>
            </w:pPr>
            <w:r w:rsidRPr="00EE366A">
              <w:rPr>
                <w:b/>
              </w:rPr>
              <w:t>Coördinerend</w:t>
            </w:r>
          </w:p>
        </w:tc>
        <w:tc>
          <w:tcPr>
            <w:tcW w:w="1915" w:type="dxa"/>
            <w:tcBorders>
              <w:top w:val="single" w:sz="12" w:space="0" w:color="auto"/>
              <w:bottom w:val="single" w:sz="12" w:space="0" w:color="auto"/>
              <w:right w:val="single" w:sz="12" w:space="0" w:color="auto"/>
            </w:tcBorders>
            <w:shd w:val="clear" w:color="auto" w:fill="BFBFBF" w:themeFill="background1" w:themeFillShade="BF"/>
          </w:tcPr>
          <w:p w14:paraId="7D4DE547" w14:textId="77777777" w:rsidR="00EE366A" w:rsidRPr="00EE366A" w:rsidRDefault="00EE366A" w:rsidP="00EE366A">
            <w:pPr>
              <w:rPr>
                <w:b/>
              </w:rPr>
            </w:pPr>
            <w:r w:rsidRPr="00EE366A">
              <w:rPr>
                <w:b/>
              </w:rPr>
              <w:t>Normatief</w:t>
            </w:r>
          </w:p>
        </w:tc>
      </w:tr>
      <w:tr w:rsidR="00A60364" w:rsidRPr="00EE366A" w14:paraId="02876E11" w14:textId="77777777" w:rsidTr="00E56FDF">
        <w:tc>
          <w:tcPr>
            <w:tcW w:w="1920" w:type="dxa"/>
            <w:tcBorders>
              <w:top w:val="single" w:sz="12" w:space="0" w:color="auto"/>
              <w:left w:val="single" w:sz="12" w:space="0" w:color="auto"/>
              <w:bottom w:val="single" w:sz="4" w:space="0" w:color="auto"/>
            </w:tcBorders>
            <w:shd w:val="clear" w:color="auto" w:fill="FFFFFF" w:themeFill="background1"/>
          </w:tcPr>
          <w:p w14:paraId="2E3176CE" w14:textId="2A1962F4" w:rsidR="00A60364" w:rsidRPr="00A60364" w:rsidRDefault="00A60364" w:rsidP="00A60364">
            <w:r>
              <w:t>Internationale coördinatie en samenwerking ontwikkelingsbeleid</w:t>
            </w:r>
          </w:p>
        </w:tc>
        <w:tc>
          <w:tcPr>
            <w:tcW w:w="1922" w:type="dxa"/>
            <w:tcBorders>
              <w:top w:val="single" w:sz="12" w:space="0" w:color="auto"/>
              <w:bottom w:val="single" w:sz="4" w:space="0" w:color="auto"/>
            </w:tcBorders>
            <w:shd w:val="clear" w:color="auto" w:fill="FFFFFF" w:themeFill="background1"/>
          </w:tcPr>
          <w:p w14:paraId="3AA794CE" w14:textId="77777777" w:rsidR="00A60364" w:rsidRPr="00A60364" w:rsidRDefault="00A60364" w:rsidP="00A60364"/>
        </w:tc>
        <w:tc>
          <w:tcPr>
            <w:tcW w:w="1940" w:type="dxa"/>
            <w:tcBorders>
              <w:top w:val="single" w:sz="12" w:space="0" w:color="auto"/>
              <w:bottom w:val="single" w:sz="4" w:space="0" w:color="auto"/>
            </w:tcBorders>
            <w:shd w:val="clear" w:color="auto" w:fill="FFFFFF" w:themeFill="background1"/>
          </w:tcPr>
          <w:p w14:paraId="4A046B41" w14:textId="4DEFA18E" w:rsidR="00A60364" w:rsidRPr="00A60364" w:rsidRDefault="00357766" w:rsidP="00A60364">
            <w:r>
              <w:t>3</w:t>
            </w:r>
          </w:p>
        </w:tc>
        <w:tc>
          <w:tcPr>
            <w:tcW w:w="1915" w:type="dxa"/>
            <w:tcBorders>
              <w:top w:val="single" w:sz="12" w:space="0" w:color="auto"/>
              <w:bottom w:val="single" w:sz="4" w:space="0" w:color="auto"/>
              <w:right w:val="single" w:sz="12" w:space="0" w:color="auto"/>
            </w:tcBorders>
            <w:shd w:val="clear" w:color="auto" w:fill="FFFFFF" w:themeFill="background1"/>
          </w:tcPr>
          <w:p w14:paraId="269378A1" w14:textId="46619EE4" w:rsidR="00A60364" w:rsidRPr="00A60364" w:rsidRDefault="00A60364" w:rsidP="00A60364"/>
        </w:tc>
      </w:tr>
      <w:tr w:rsidR="00A60364" w:rsidRPr="00EE366A" w14:paraId="4BFE6516" w14:textId="77777777" w:rsidTr="00F2099E">
        <w:tc>
          <w:tcPr>
            <w:tcW w:w="1920" w:type="dxa"/>
            <w:tcBorders>
              <w:left w:val="single" w:sz="12" w:space="0" w:color="auto"/>
              <w:bottom w:val="single" w:sz="12" w:space="0" w:color="auto"/>
            </w:tcBorders>
            <w:shd w:val="clear" w:color="auto" w:fill="auto"/>
          </w:tcPr>
          <w:p w14:paraId="5FE18504" w14:textId="77777777" w:rsidR="00A60364" w:rsidRPr="00E671F4" w:rsidRDefault="00A60364" w:rsidP="00A60364">
            <w:pPr>
              <w:rPr>
                <w:i/>
              </w:rPr>
            </w:pPr>
            <w:proofErr w:type="spellStart"/>
            <w:r w:rsidRPr="00E671F4">
              <w:rPr>
                <w:i/>
              </w:rPr>
              <w:t>Domestic</w:t>
            </w:r>
            <w:proofErr w:type="spellEnd"/>
            <w:r w:rsidRPr="00E671F4">
              <w:rPr>
                <w:i/>
              </w:rPr>
              <w:t xml:space="preserve"> resource </w:t>
            </w:r>
            <w:proofErr w:type="spellStart"/>
            <w:r w:rsidRPr="00E671F4">
              <w:rPr>
                <w:i/>
              </w:rPr>
              <w:t>mobilisation</w:t>
            </w:r>
            <w:proofErr w:type="spellEnd"/>
            <w:r w:rsidRPr="00E671F4">
              <w:rPr>
                <w:i/>
              </w:rPr>
              <w:t xml:space="preserve"> </w:t>
            </w:r>
          </w:p>
        </w:tc>
        <w:tc>
          <w:tcPr>
            <w:tcW w:w="1922" w:type="dxa"/>
            <w:tcBorders>
              <w:bottom w:val="single" w:sz="12" w:space="0" w:color="auto"/>
            </w:tcBorders>
            <w:shd w:val="clear" w:color="auto" w:fill="auto"/>
          </w:tcPr>
          <w:p w14:paraId="69B8C2CB" w14:textId="77777777" w:rsidR="00A60364" w:rsidRPr="00EE366A" w:rsidRDefault="00A60364" w:rsidP="00A60364">
            <w:r w:rsidRPr="00EE366A">
              <w:t>4</w:t>
            </w:r>
          </w:p>
        </w:tc>
        <w:tc>
          <w:tcPr>
            <w:tcW w:w="1940" w:type="dxa"/>
            <w:tcBorders>
              <w:bottom w:val="single" w:sz="12" w:space="0" w:color="auto"/>
            </w:tcBorders>
            <w:shd w:val="clear" w:color="auto" w:fill="auto"/>
          </w:tcPr>
          <w:p w14:paraId="7015C580" w14:textId="77777777" w:rsidR="00A60364" w:rsidRPr="00EE366A" w:rsidRDefault="00A60364" w:rsidP="00A60364">
            <w:r w:rsidRPr="00EE366A">
              <w:t>4</w:t>
            </w:r>
          </w:p>
        </w:tc>
        <w:tc>
          <w:tcPr>
            <w:tcW w:w="1915" w:type="dxa"/>
            <w:tcBorders>
              <w:bottom w:val="single" w:sz="12" w:space="0" w:color="auto"/>
              <w:right w:val="single" w:sz="12" w:space="0" w:color="auto"/>
            </w:tcBorders>
            <w:shd w:val="clear" w:color="auto" w:fill="auto"/>
          </w:tcPr>
          <w:p w14:paraId="0E46C4F3" w14:textId="77777777" w:rsidR="00A60364" w:rsidRPr="00EE366A" w:rsidRDefault="00A60364" w:rsidP="00A60364">
            <w:r w:rsidRPr="00EE366A">
              <w:t>4</w:t>
            </w:r>
          </w:p>
        </w:tc>
      </w:tr>
    </w:tbl>
    <w:p w14:paraId="7978C96A" w14:textId="77777777" w:rsidR="00EE366A" w:rsidRPr="00EE366A" w:rsidRDefault="00EE366A" w:rsidP="00EE366A"/>
    <w:p w14:paraId="4BF3343D" w14:textId="5EF33F6A" w:rsidR="00CB1A14" w:rsidRDefault="00CB1A14" w:rsidP="007816ED"/>
    <w:sectPr w:rsidR="00CB1A14" w:rsidSect="007816ED">
      <w:endnotePr>
        <w:numFmt w:val="decimal"/>
      </w:endnotePr>
      <w:type w:val="continuous"/>
      <w:pgSz w:w="11906" w:h="16838" w:code="9"/>
      <w:pgMar w:top="2518" w:right="958" w:bottom="1077" w:left="3221" w:header="199"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C957C" w14:textId="77777777" w:rsidR="009C0B84" w:rsidRDefault="009C0B84">
      <w:r>
        <w:separator/>
      </w:r>
    </w:p>
    <w:p w14:paraId="463F567E" w14:textId="77777777" w:rsidR="009C0B84" w:rsidRDefault="009C0B84"/>
    <w:p w14:paraId="06E5EC35" w14:textId="77777777" w:rsidR="009C0B84" w:rsidRDefault="009C0B84"/>
  </w:endnote>
  <w:endnote w:type="continuationSeparator" w:id="0">
    <w:p w14:paraId="3F07E003" w14:textId="77777777" w:rsidR="009C0B84" w:rsidRDefault="009C0B84">
      <w:r>
        <w:continuationSeparator/>
      </w:r>
    </w:p>
    <w:p w14:paraId="2C29ABCE" w14:textId="77777777" w:rsidR="009C0B84" w:rsidRDefault="009C0B84"/>
    <w:p w14:paraId="55B0DA12" w14:textId="77777777" w:rsidR="009C0B84" w:rsidRDefault="009C0B84"/>
  </w:endnote>
  <w:endnote w:type="continuationNotice" w:id="1">
    <w:p w14:paraId="40C8D935" w14:textId="77777777" w:rsidR="009C0B84" w:rsidRDefault="009C0B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DengXian">
    <w:altName w:val="等线"/>
    <w:panose1 w:val="02010600030101010101"/>
    <w:charset w:val="86"/>
    <w:family w:val="roman"/>
    <w:notTrueType/>
    <w:pitch w:val="default"/>
  </w:font>
  <w:font w:name="Segoe UI Emoji">
    <w:panose1 w:val="020B0502040204020203"/>
    <w:charset w:val="00"/>
    <w:family w:val="swiss"/>
    <w:pitch w:val="variable"/>
    <w:sig w:usb0="00000003" w:usb1="02000000" w:usb2="00000000" w:usb3="00000000" w:csb0="00000001" w:csb1="00000000"/>
  </w:font>
  <w:font w:name="OpenSans-Semibold">
    <w:altName w:val="Arial"/>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652" w:type="dxa"/>
      <w:tblLayout w:type="fixed"/>
      <w:tblCellMar>
        <w:left w:w="0" w:type="dxa"/>
        <w:right w:w="0" w:type="dxa"/>
      </w:tblCellMar>
      <w:tblLook w:val="0000" w:firstRow="0" w:lastRow="0" w:firstColumn="0" w:lastColumn="0" w:noHBand="0" w:noVBand="0"/>
    </w:tblPr>
    <w:tblGrid>
      <w:gridCol w:w="6179"/>
      <w:gridCol w:w="1374"/>
      <w:gridCol w:w="99"/>
    </w:tblGrid>
    <w:tr w:rsidR="009C0B84" w:rsidRPr="00785F18" w14:paraId="609E9692" w14:textId="77777777">
      <w:trPr>
        <w:trHeight w:hRule="exact" w:val="240"/>
      </w:trPr>
      <w:tc>
        <w:tcPr>
          <w:tcW w:w="7752" w:type="dxa"/>
          <w:gridSpan w:val="3"/>
          <w:shd w:val="clear" w:color="auto" w:fill="auto"/>
        </w:tcPr>
        <w:p w14:paraId="6831FC07" w14:textId="77777777" w:rsidR="009C0B84" w:rsidRPr="00785F18" w:rsidRDefault="009C0B84">
          <w:pPr>
            <w:spacing w:line="240" w:lineRule="auto"/>
          </w:pPr>
        </w:p>
      </w:tc>
    </w:tr>
    <w:tr w:rsidR="009C0B84" w:rsidRPr="00785F18" w14:paraId="1A635974" w14:textId="77777777">
      <w:trPr>
        <w:gridAfter w:val="1"/>
        <w:wAfter w:w="99" w:type="dxa"/>
        <w:trHeight w:hRule="exact" w:val="240"/>
      </w:trPr>
      <w:tc>
        <w:tcPr>
          <w:tcW w:w="6260" w:type="dxa"/>
          <w:shd w:val="clear" w:color="auto" w:fill="auto"/>
        </w:tcPr>
        <w:p w14:paraId="3F034CCF" w14:textId="2AA59523" w:rsidR="009C0B84" w:rsidRPr="00785F18" w:rsidRDefault="009C7B76" w:rsidP="007816ED">
          <w:pPr>
            <w:pStyle w:val="Huisstijl-Paginanummering"/>
            <w:rPr>
              <w:rStyle w:val="Huisstijl-Rubricering"/>
            </w:rPr>
          </w:pPr>
          <w:r>
            <w:fldChar w:fldCharType="begin"/>
          </w:r>
          <w:r>
            <w:instrText xml:space="preserve"> DOCPROPERTY  L_PAGE  \* MERGEFORMAT </w:instrText>
          </w:r>
          <w:r>
            <w:fldChar w:fldCharType="separate"/>
          </w:r>
          <w:r w:rsidR="00050D3F">
            <w:t>Pagina</w:t>
          </w:r>
          <w:r>
            <w:fldChar w:fldCharType="end"/>
          </w:r>
          <w:r w:rsidR="009C0B84" w:rsidRPr="00785F18">
            <w:t xml:space="preserve"> </w:t>
          </w:r>
          <w:r w:rsidR="009C0B84" w:rsidRPr="00785F18">
            <w:fldChar w:fldCharType="begin"/>
          </w:r>
          <w:r w:rsidR="009C0B84" w:rsidRPr="00785F18">
            <w:instrText xml:space="preserve"> PAGE   \* MERGEFORMAT </w:instrText>
          </w:r>
          <w:r w:rsidR="009C0B84" w:rsidRPr="00785F18">
            <w:fldChar w:fldCharType="separate"/>
          </w:r>
          <w:r w:rsidR="009C0B84">
            <w:t>22</w:t>
          </w:r>
          <w:r w:rsidR="009C0B84" w:rsidRPr="00785F18">
            <w:fldChar w:fldCharType="end"/>
          </w:r>
          <w:r w:rsidR="009C0B84" w:rsidRPr="00785F18">
            <w:t xml:space="preserve"> </w:t>
          </w:r>
          <w:r>
            <w:fldChar w:fldCharType="begin"/>
          </w:r>
          <w:r>
            <w:instrText xml:space="preserve"> DOCPROPERTY  L_PAGEOF  \* MERGEFORMAT </w:instrText>
          </w:r>
          <w:r>
            <w:fldChar w:fldCharType="separate"/>
          </w:r>
          <w:r w:rsidR="00050D3F">
            <w:t>van</w:t>
          </w:r>
          <w:r>
            <w:fldChar w:fldCharType="end"/>
          </w:r>
          <w:r w:rsidR="009C0B84" w:rsidRPr="00785F18">
            <w:t xml:space="preserve"> </w:t>
          </w:r>
          <w:r>
            <w:fldChar w:fldCharType="begin"/>
          </w:r>
          <w:r>
            <w:instrText xml:space="preserve"> NUMPAGES   \* MERGEFORMAT </w:instrText>
          </w:r>
          <w:r>
            <w:fldChar w:fldCharType="separate"/>
          </w:r>
          <w:r w:rsidR="00050D3F">
            <w:t>2</w:t>
          </w:r>
          <w:r>
            <w:fldChar w:fldCharType="end"/>
          </w:r>
        </w:p>
      </w:tc>
      <w:tc>
        <w:tcPr>
          <w:tcW w:w="1392" w:type="dxa"/>
        </w:tcPr>
        <w:p w14:paraId="7CA67F02" w14:textId="77777777" w:rsidR="009C0B84" w:rsidRPr="00785F18" w:rsidRDefault="009C0B84" w:rsidP="007816ED">
          <w:pPr>
            <w:pStyle w:val="Huisstijl-Paginanummering"/>
            <w:jc w:val="right"/>
          </w:pPr>
        </w:p>
      </w:tc>
    </w:tr>
  </w:tbl>
  <w:p w14:paraId="706B7601" w14:textId="77777777" w:rsidR="009C0B84" w:rsidRPr="00785F18" w:rsidRDefault="009C0B84" w:rsidP="007816ED">
    <w:pPr>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068799685"/>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02823D37" w14:textId="49024B56" w:rsidR="009C7B76" w:rsidRPr="009C7B76" w:rsidRDefault="009C7B76">
            <w:pPr>
              <w:pStyle w:val="Footer"/>
              <w:jc w:val="right"/>
              <w:rPr>
                <w:sz w:val="16"/>
                <w:szCs w:val="16"/>
              </w:rPr>
            </w:pPr>
            <w:r w:rsidRPr="009C7B76">
              <w:rPr>
                <w:sz w:val="16"/>
                <w:szCs w:val="16"/>
              </w:rPr>
              <w:t xml:space="preserve">Pagina </w:t>
            </w:r>
            <w:r w:rsidRPr="009C7B76">
              <w:rPr>
                <w:bCs/>
                <w:sz w:val="16"/>
                <w:szCs w:val="16"/>
              </w:rPr>
              <w:fldChar w:fldCharType="begin"/>
            </w:r>
            <w:r w:rsidRPr="009C7B76">
              <w:rPr>
                <w:bCs/>
                <w:sz w:val="16"/>
                <w:szCs w:val="16"/>
              </w:rPr>
              <w:instrText>PAGE</w:instrText>
            </w:r>
            <w:r w:rsidRPr="009C7B76">
              <w:rPr>
                <w:bCs/>
                <w:sz w:val="16"/>
                <w:szCs w:val="16"/>
              </w:rPr>
              <w:fldChar w:fldCharType="separate"/>
            </w:r>
            <w:r>
              <w:rPr>
                <w:bCs/>
                <w:noProof/>
                <w:sz w:val="16"/>
                <w:szCs w:val="16"/>
              </w:rPr>
              <w:t>21</w:t>
            </w:r>
            <w:r w:rsidRPr="009C7B76">
              <w:rPr>
                <w:bCs/>
                <w:sz w:val="16"/>
                <w:szCs w:val="16"/>
              </w:rPr>
              <w:fldChar w:fldCharType="end"/>
            </w:r>
            <w:r w:rsidRPr="009C7B76">
              <w:rPr>
                <w:sz w:val="16"/>
                <w:szCs w:val="16"/>
              </w:rPr>
              <w:t xml:space="preserve"> van </w:t>
            </w:r>
            <w:r w:rsidRPr="009C7B76">
              <w:rPr>
                <w:bCs/>
                <w:sz w:val="16"/>
                <w:szCs w:val="16"/>
              </w:rPr>
              <w:fldChar w:fldCharType="begin"/>
            </w:r>
            <w:r w:rsidRPr="009C7B76">
              <w:rPr>
                <w:bCs/>
                <w:sz w:val="16"/>
                <w:szCs w:val="16"/>
              </w:rPr>
              <w:instrText>NUMPAGES</w:instrText>
            </w:r>
            <w:r w:rsidRPr="009C7B76">
              <w:rPr>
                <w:bCs/>
                <w:sz w:val="16"/>
                <w:szCs w:val="16"/>
              </w:rPr>
              <w:fldChar w:fldCharType="separate"/>
            </w:r>
            <w:r>
              <w:rPr>
                <w:bCs/>
                <w:noProof/>
                <w:sz w:val="16"/>
                <w:szCs w:val="16"/>
              </w:rPr>
              <w:t>21</w:t>
            </w:r>
            <w:r w:rsidRPr="009C7B76">
              <w:rPr>
                <w:bCs/>
                <w:sz w:val="16"/>
                <w:szCs w:val="16"/>
              </w:rPr>
              <w:fldChar w:fldCharType="end"/>
            </w:r>
          </w:p>
        </w:sdtContent>
      </w:sdt>
    </w:sdtContent>
  </w:sdt>
  <w:p w14:paraId="5A9A97E4" w14:textId="77777777" w:rsidR="009C0B84" w:rsidRPr="00785F18" w:rsidRDefault="009C0B84" w:rsidP="007816ED">
    <w:pPr>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6260"/>
    </w:tblGrid>
    <w:tr w:rsidR="009C7B76" w:rsidRPr="00785F18" w14:paraId="0F23E8B5" w14:textId="77777777">
      <w:trPr>
        <w:trHeight w:hRule="exact" w:val="240"/>
      </w:trPr>
      <w:tc>
        <w:tcPr>
          <w:tcW w:w="6260" w:type="dxa"/>
          <w:shd w:val="clear" w:color="auto" w:fill="auto"/>
        </w:tcPr>
        <w:p w14:paraId="65EA4EC9" w14:textId="77777777" w:rsidR="009C7B76" w:rsidRPr="00785F18" w:rsidRDefault="009C7B76" w:rsidP="007816ED">
          <w:pPr>
            <w:rPr>
              <w:rStyle w:val="Huisstijl-Rubricering"/>
            </w:rPr>
          </w:pPr>
        </w:p>
      </w:tc>
    </w:tr>
  </w:tbl>
  <w:p w14:paraId="6FA31A41" w14:textId="77777777" w:rsidR="009C0B84" w:rsidRPr="00785F18" w:rsidRDefault="009C0B84" w:rsidP="007816ED">
    <w:pPr>
      <w:spacing w:line="240" w:lineRule="auto"/>
      <w:rPr>
        <w:sz w:val="2"/>
        <w:szCs w:val="2"/>
      </w:rPr>
    </w:pPr>
  </w:p>
  <w:p w14:paraId="5F3319C9" w14:textId="77777777" w:rsidR="009C0B84" w:rsidRPr="00785F18" w:rsidRDefault="009C0B84" w:rsidP="007816ED">
    <w:pP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3EA18" w14:textId="77777777" w:rsidR="009C0B84" w:rsidRPr="00B35331" w:rsidRDefault="009C0B84" w:rsidP="007816ED">
      <w:pPr>
        <w:pStyle w:val="Footer"/>
      </w:pPr>
    </w:p>
  </w:footnote>
  <w:footnote w:type="continuationSeparator" w:id="0">
    <w:p w14:paraId="106F4DE6" w14:textId="77777777" w:rsidR="009C0B84" w:rsidRDefault="009C0B84">
      <w:r>
        <w:continuationSeparator/>
      </w:r>
    </w:p>
    <w:p w14:paraId="190C21C9" w14:textId="77777777" w:rsidR="009C0B84" w:rsidRDefault="009C0B84"/>
    <w:p w14:paraId="0178DC76" w14:textId="77777777" w:rsidR="009C0B84" w:rsidRDefault="009C0B84"/>
  </w:footnote>
  <w:footnote w:type="continuationNotice" w:id="1">
    <w:p w14:paraId="7F36C9AC" w14:textId="77777777" w:rsidR="009C0B84" w:rsidRDefault="009C0B84">
      <w:pPr>
        <w:spacing w:line="240" w:lineRule="auto"/>
      </w:pPr>
    </w:p>
  </w:footnote>
  <w:footnote w:id="2">
    <w:p w14:paraId="4716DD51" w14:textId="0F8EC221" w:rsidR="009C0B84" w:rsidRPr="00C5757D" w:rsidRDefault="009C0B84" w:rsidP="00C5757D">
      <w:pPr>
        <w:pStyle w:val="FootnoteText"/>
      </w:pPr>
      <w:r>
        <w:rPr>
          <w:rStyle w:val="FootnoteReference"/>
        </w:rPr>
        <w:footnoteRef/>
      </w:r>
      <w:r>
        <w:t xml:space="preserve"> Binnen MOPAN evalueert Nederland samen met 18 gelijkgezinde landen het functioneren van </w:t>
      </w:r>
      <w:r w:rsidR="00E671F4">
        <w:t>VN-organisaties</w:t>
      </w:r>
      <w:r>
        <w:t xml:space="preserve"> en Internationale Financiële Instellingen. Vanaf 2015 worden, per keer, in een tweejaarlijkse cyclus, ongeveer 13 organisaties doorgelicht op organisatorisch functioneren en ontwikkelingseffectiviteit.</w:t>
      </w:r>
    </w:p>
  </w:footnote>
  <w:footnote w:id="3">
    <w:p w14:paraId="637E57F6" w14:textId="1A0EE8DA" w:rsidR="009C0B84" w:rsidRPr="00F80A62" w:rsidRDefault="009C0B84">
      <w:pPr>
        <w:pStyle w:val="FootnoteText"/>
      </w:pPr>
      <w:r>
        <w:rPr>
          <w:rStyle w:val="FootnoteReference"/>
        </w:rPr>
        <w:footnoteRef/>
      </w:r>
      <w:r>
        <w:t xml:space="preserve"> </w:t>
      </w:r>
      <w:r w:rsidRPr="0044415E">
        <w:t>Beide hebben een ve</w:t>
      </w:r>
      <w:r>
        <w:t>r</w:t>
      </w:r>
      <w:r w:rsidRPr="0044415E">
        <w:t xml:space="preserve">drag afgesloten met de VN waarin de relatie tussen de organisaties is vastgelegd. </w:t>
      </w:r>
      <w:r>
        <w:t xml:space="preserve">Zie ook </w:t>
      </w:r>
      <w:proofErr w:type="spellStart"/>
      <w:r>
        <w:t>kst</w:t>
      </w:r>
      <w:proofErr w:type="spellEnd"/>
      <w:r>
        <w:t xml:space="preserve"> 88254, kenmerk 26150 nr. 28 d.d. 24 juni 2005.</w:t>
      </w:r>
    </w:p>
  </w:footnote>
  <w:footnote w:id="4">
    <w:p w14:paraId="6B51A012" w14:textId="2A486101" w:rsidR="009C0B84" w:rsidRPr="00F80A62" w:rsidRDefault="009C0B84">
      <w:pPr>
        <w:pStyle w:val="FootnoteText"/>
      </w:pPr>
      <w:r>
        <w:rPr>
          <w:rStyle w:val="FootnoteReference"/>
        </w:rPr>
        <w:footnoteRef/>
      </w:r>
      <w:r w:rsidRPr="00F80A62">
        <w:t xml:space="preserve"> Naast Nederland maken Armenië, Bosnië-Herzegovina, Bulgarije, Cyprus, Georgië, Kroatië, Israël, Macedonië, Moldavië, Montenegro, Oekraïne en Roemenië deel uit van de kiesgroep</w:t>
      </w:r>
    </w:p>
  </w:footnote>
  <w:footnote w:id="5">
    <w:p w14:paraId="2C21F46D" w14:textId="22AAE2F1" w:rsidR="009C0B84" w:rsidRPr="00C5757D" w:rsidRDefault="009C0B84" w:rsidP="00C5757D">
      <w:pPr>
        <w:pStyle w:val="FootnoteText"/>
      </w:pPr>
      <w:r>
        <w:rPr>
          <w:rStyle w:val="FootnoteReference"/>
        </w:rPr>
        <w:footnoteRef/>
      </w:r>
      <w:r>
        <w:t xml:space="preserve"> Bedragen zijn in USD tenzij anders vermeld. Het financiële jaar loopt van 1 juli tot 30 juni. Bedragen zijn ontleend aan het IBRD </w:t>
      </w:r>
      <w:proofErr w:type="spellStart"/>
      <w:r>
        <w:t>Management’s</w:t>
      </w:r>
      <w:proofErr w:type="spellEnd"/>
      <w:r>
        <w:t xml:space="preserve"> </w:t>
      </w:r>
      <w:proofErr w:type="spellStart"/>
      <w:r>
        <w:t>Discussion</w:t>
      </w:r>
      <w:proofErr w:type="spellEnd"/>
      <w:r>
        <w:t xml:space="preserve"> &amp; Analysis </w:t>
      </w:r>
      <w:proofErr w:type="spellStart"/>
      <w:r>
        <w:t>and</w:t>
      </w:r>
      <w:proofErr w:type="spellEnd"/>
      <w:r>
        <w:t xml:space="preserve"> Financial Statements per 30 juni 2016</w:t>
      </w:r>
      <w:r w:rsidRPr="003F03AB">
        <w:t xml:space="preserve"> </w:t>
      </w:r>
      <w:r>
        <w:t>tenzij anders vermeld</w:t>
      </w:r>
    </w:p>
  </w:footnote>
  <w:footnote w:id="6">
    <w:p w14:paraId="2F738D6D" w14:textId="2A8C6F32" w:rsidR="009C0B84" w:rsidRPr="00C5757D" w:rsidRDefault="009C0B84">
      <w:pPr>
        <w:pStyle w:val="FootnoteText"/>
      </w:pPr>
      <w:r>
        <w:rPr>
          <w:rStyle w:val="FootnoteReference"/>
        </w:rPr>
        <w:footnoteRef/>
      </w:r>
      <w:r>
        <w:t xml:space="preserve"> De zes grootste aandeelhouders zijn de VS, Japan, China, Duitsland, Frankrijk en het VK</w:t>
      </w:r>
    </w:p>
  </w:footnote>
  <w:footnote w:id="7">
    <w:p w14:paraId="57500050" w14:textId="17A650B4" w:rsidR="009C0B84" w:rsidRPr="00B53E51" w:rsidRDefault="009C0B84">
      <w:pPr>
        <w:pStyle w:val="FootnoteText"/>
      </w:pPr>
      <w:r>
        <w:rPr>
          <w:rStyle w:val="FootnoteReference"/>
        </w:rPr>
        <w:footnoteRef/>
      </w:r>
      <w:r>
        <w:t xml:space="preserve"> De zes grootste aandeelhouders zijn het VK, VS, Japan, Duitsland, Frankrijk, Canada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E7494" w14:textId="77777777" w:rsidR="009C0B84" w:rsidRPr="00785F18" w:rsidRDefault="009C0B84">
    <w:pPr>
      <w:pStyle w:val="Header"/>
    </w:pPr>
  </w:p>
  <w:p w14:paraId="6CCB4587" w14:textId="77777777" w:rsidR="009C0B84" w:rsidRPr="00785F18" w:rsidRDefault="009C0B84"/>
  <w:p w14:paraId="4D373E4F" w14:textId="77777777" w:rsidR="009C0B84" w:rsidRPr="00785F18" w:rsidRDefault="009C0B8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4DD8C" w14:textId="77777777" w:rsidR="009C0B84" w:rsidRPr="00785F18" w:rsidRDefault="009C0B84" w:rsidP="007816ED">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9C0B84" w:rsidRPr="008517DE" w14:paraId="2BF6BCB4" w14:textId="77777777">
      <w:trPr>
        <w:trHeight w:val="400"/>
      </w:trPr>
      <w:tc>
        <w:tcPr>
          <w:tcW w:w="7520" w:type="dxa"/>
          <w:shd w:val="clear" w:color="auto" w:fill="auto"/>
        </w:tcPr>
        <w:p w14:paraId="60941501" w14:textId="69BAE691" w:rsidR="009C0B84" w:rsidRPr="008517DE" w:rsidRDefault="009C0B84" w:rsidP="004E4757">
          <w:pPr>
            <w:adjustRightInd w:val="0"/>
            <w:spacing w:line="180" w:lineRule="exact"/>
            <w:rPr>
              <w:sz w:val="13"/>
              <w:lang w:val="en-GB"/>
            </w:rPr>
          </w:pPr>
          <w:r>
            <w:rPr>
              <w:rStyle w:val="Huisstijl-Koptekst"/>
            </w:rPr>
            <w:fldChar w:fldCharType="begin"/>
          </w:r>
          <w:r>
            <w:rPr>
              <w:rStyle w:val="Huisstijl-Koptekst"/>
            </w:rPr>
            <w:instrText xml:space="preserve"> Titel </w:instrText>
          </w:r>
          <w:r>
            <w:rPr>
              <w:rStyle w:val="Huisstijl-Koptekst"/>
            </w:rPr>
            <w:fldChar w:fldCharType="separate"/>
          </w:r>
          <w:r w:rsidR="00050D3F" w:rsidRPr="00B36546">
            <w:t>Scorecard</w:t>
          </w:r>
          <w:r>
            <w:rPr>
              <w:rStyle w:val="Huisstijl-Koptekst"/>
            </w:rPr>
            <w:fldChar w:fldCharType="end"/>
          </w:r>
          <w:r w:rsidRPr="008517DE">
            <w:rPr>
              <w:rStyle w:val="Huisstijl-Koptekst"/>
              <w:lang w:val="en-GB"/>
            </w:rPr>
            <w:t xml:space="preserve"> | </w:t>
          </w:r>
          <w:r>
            <w:rPr>
              <w:rStyle w:val="Huisstijl-Koptekst"/>
            </w:rPr>
            <w:t>World Bank</w:t>
          </w:r>
        </w:p>
      </w:tc>
    </w:tr>
  </w:tbl>
  <w:p w14:paraId="33B20A1A" w14:textId="77777777" w:rsidR="009C0B84" w:rsidRPr="008517DE" w:rsidRDefault="009C0B84" w:rsidP="007816ED">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0F33D" w14:textId="77777777" w:rsidR="009C0B84" w:rsidRPr="00785F18" w:rsidRDefault="009C0B84" w:rsidP="007816ED">
    <w:r>
      <w:rPr>
        <w:noProof/>
      </w:rPr>
      <mc:AlternateContent>
        <mc:Choice Requires="wps">
          <w:drawing>
            <wp:anchor distT="0" distB="0" distL="114300" distR="114300" simplePos="0" relativeHeight="251658240" behindDoc="0" locked="0" layoutInCell="1" allowOverlap="1" wp14:anchorId="433DCA99" wp14:editId="34921AA9">
              <wp:simplePos x="0" y="0"/>
              <wp:positionH relativeFrom="column">
                <wp:posOffset>1386840</wp:posOffset>
              </wp:positionH>
              <wp:positionV relativeFrom="page">
                <wp:posOffset>-87630</wp:posOffset>
              </wp:positionV>
              <wp:extent cx="4025900" cy="1746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9C0B84" w14:paraId="24968212" w14:textId="77777777">
                            <w:trPr>
                              <w:trHeight w:val="2636"/>
                            </w:trPr>
                            <w:tc>
                              <w:tcPr>
                                <w:tcW w:w="737" w:type="dxa"/>
                                <w:shd w:val="clear" w:color="auto" w:fill="auto"/>
                              </w:tcPr>
                              <w:p w14:paraId="7F3EA32D" w14:textId="77777777" w:rsidR="009C0B84" w:rsidRDefault="009C0B84" w:rsidP="007816ED">
                                <w:pPr>
                                  <w:spacing w:line="240" w:lineRule="auto"/>
                                </w:pPr>
                                <w:bookmarkStart w:id="4" w:name="bm_BZlogo"/>
                                <w:bookmarkEnd w:id="4"/>
                                <w:r>
                                  <w:rPr>
                                    <w:noProof/>
                                  </w:rPr>
                                  <w:drawing>
                                    <wp:inline distT="0" distB="0" distL="0" distR="0" wp14:anchorId="1CBED747" wp14:editId="60556E4C">
                                      <wp:extent cx="466725" cy="1581150"/>
                                      <wp:effectExtent l="0" t="0" r="0" b="0"/>
                                      <wp:docPr id="3"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1581150"/>
                                              </a:xfrm>
                                              <a:prstGeom prst="rect">
                                                <a:avLst/>
                                              </a:prstGeom>
                                              <a:noFill/>
                                              <a:ln>
                                                <a:noFill/>
                                              </a:ln>
                                            </pic:spPr>
                                          </pic:pic>
                                        </a:graphicData>
                                      </a:graphic>
                                    </wp:inline>
                                  </w:drawing>
                                </w:r>
                              </w:p>
                            </w:tc>
                            <w:tc>
                              <w:tcPr>
                                <w:tcW w:w="5383" w:type="dxa"/>
                                <w:shd w:val="clear" w:color="auto" w:fill="auto"/>
                              </w:tcPr>
                              <w:p w14:paraId="2106FFF8" w14:textId="77777777" w:rsidR="009C0B84" w:rsidRDefault="009C0B84" w:rsidP="007816ED">
                                <w:pPr>
                                  <w:spacing w:line="240" w:lineRule="auto"/>
                                </w:pPr>
                                <w:r>
                                  <w:rPr>
                                    <w:noProof/>
                                  </w:rPr>
                                  <w:drawing>
                                    <wp:inline distT="0" distB="0" distL="0" distR="0" wp14:anchorId="48753998" wp14:editId="542F49D8">
                                      <wp:extent cx="2447925" cy="1657350"/>
                                      <wp:effectExtent l="0" t="0" r="0" b="0"/>
                                      <wp:docPr id="2" name="Picture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p>
                            </w:tc>
                          </w:tr>
                        </w:tbl>
                        <w:p w14:paraId="3D08B020" w14:textId="77777777" w:rsidR="009C0B84" w:rsidRDefault="009C0B84" w:rsidP="007816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3DCA99" id="_x0000_t202" coordsize="21600,21600" o:spt="202" path="m,l,21600r21600,l21600,xe">
              <v:stroke joinstyle="miter"/>
              <v:path gradientshapeok="t" o:connecttype="rect"/>
            </v:shapetype>
            <v:shape id="Text Box 1" o:spid="_x0000_s1026" type="#_x0000_t202" style="position:absolute;margin-left:109.2pt;margin-top:-6.9pt;width:317pt;height: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9C0B84" w14:paraId="24968212" w14:textId="77777777">
                      <w:trPr>
                        <w:trHeight w:val="2636"/>
                      </w:trPr>
                      <w:tc>
                        <w:tcPr>
                          <w:tcW w:w="737" w:type="dxa"/>
                          <w:shd w:val="clear" w:color="auto" w:fill="auto"/>
                        </w:tcPr>
                        <w:p w14:paraId="7F3EA32D" w14:textId="77777777" w:rsidR="009C0B84" w:rsidRDefault="009C0B84" w:rsidP="007816ED">
                          <w:pPr>
                            <w:spacing w:line="240" w:lineRule="auto"/>
                          </w:pPr>
                          <w:bookmarkStart w:id="5" w:name="bm_BZlogo"/>
                          <w:bookmarkEnd w:id="5"/>
                          <w:r>
                            <w:rPr>
                              <w:noProof/>
                            </w:rPr>
                            <w:drawing>
                              <wp:inline distT="0" distB="0" distL="0" distR="0" wp14:anchorId="1CBED747" wp14:editId="60556E4C">
                                <wp:extent cx="466725" cy="1581150"/>
                                <wp:effectExtent l="0" t="0" r="0" b="0"/>
                                <wp:docPr id="3"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1581150"/>
                                        </a:xfrm>
                                        <a:prstGeom prst="rect">
                                          <a:avLst/>
                                        </a:prstGeom>
                                        <a:noFill/>
                                        <a:ln>
                                          <a:noFill/>
                                        </a:ln>
                                      </pic:spPr>
                                    </pic:pic>
                                  </a:graphicData>
                                </a:graphic>
                              </wp:inline>
                            </w:drawing>
                          </w:r>
                        </w:p>
                      </w:tc>
                      <w:tc>
                        <w:tcPr>
                          <w:tcW w:w="5383" w:type="dxa"/>
                          <w:shd w:val="clear" w:color="auto" w:fill="auto"/>
                        </w:tcPr>
                        <w:p w14:paraId="2106FFF8" w14:textId="77777777" w:rsidR="009C0B84" w:rsidRDefault="009C0B84" w:rsidP="007816ED">
                          <w:pPr>
                            <w:spacing w:line="240" w:lineRule="auto"/>
                          </w:pPr>
                          <w:r>
                            <w:rPr>
                              <w:noProof/>
                            </w:rPr>
                            <w:drawing>
                              <wp:inline distT="0" distB="0" distL="0" distR="0" wp14:anchorId="48753998" wp14:editId="542F49D8">
                                <wp:extent cx="2447925" cy="1657350"/>
                                <wp:effectExtent l="0" t="0" r="0" b="0"/>
                                <wp:docPr id="2" name="Picture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p>
                      </w:tc>
                    </w:tr>
                  </w:tbl>
                  <w:p w14:paraId="3D08B020" w14:textId="77777777" w:rsidR="009C0B84" w:rsidRDefault="009C0B84" w:rsidP="007816ED"/>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9C0B84" w:rsidRPr="00785F18" w14:paraId="293EB41E" w14:textId="77777777">
      <w:trPr>
        <w:cantSplit/>
        <w:trHeight w:hRule="exact" w:val="3340"/>
      </w:trPr>
      <w:tc>
        <w:tcPr>
          <w:tcW w:w="5640" w:type="dxa"/>
          <w:shd w:val="clear" w:color="auto" w:fill="auto"/>
        </w:tcPr>
        <w:p w14:paraId="62105FF9" w14:textId="77777777" w:rsidR="009C0B84" w:rsidRPr="00785F18" w:rsidRDefault="009C0B84" w:rsidP="007816ED">
          <w:pPr>
            <w:ind w:left="240" w:hanging="240"/>
          </w:pPr>
        </w:p>
      </w:tc>
    </w:tr>
    <w:tr w:rsidR="009C0B84" w:rsidRPr="00B36546" w14:paraId="176DA0D9" w14:textId="77777777">
      <w:trPr>
        <w:cantSplit/>
        <w:trHeight w:hRule="exact" w:val="1440"/>
      </w:trPr>
      <w:tc>
        <w:tcPr>
          <w:tcW w:w="5640" w:type="dxa"/>
          <w:shd w:val="clear" w:color="auto" w:fill="auto"/>
        </w:tcPr>
        <w:p w14:paraId="6590A283" w14:textId="77777777" w:rsidR="009C0B84" w:rsidRPr="00785F18" w:rsidRDefault="009C0B84" w:rsidP="007816ED">
          <w:pPr>
            <w:rPr>
              <w:rStyle w:val="Huisstijl-Rubricering"/>
              <w:smallCaps w:val="0"/>
            </w:rPr>
          </w:pPr>
        </w:p>
        <w:p w14:paraId="78B75D98" w14:textId="77777777" w:rsidR="009C0B84" w:rsidRPr="00785F18" w:rsidRDefault="009C0B84" w:rsidP="007816ED">
          <w:pPr>
            <w:spacing w:line="180" w:lineRule="atLeast"/>
            <w:rPr>
              <w:rStyle w:val="Huisstijl-Rubricering"/>
              <w:smallCaps w:val="0"/>
            </w:rPr>
          </w:pPr>
        </w:p>
        <w:p w14:paraId="2D8E808A" w14:textId="70013217" w:rsidR="009C0B84" w:rsidRDefault="009C0B84" w:rsidP="007816ED">
          <w:pPr>
            <w:pStyle w:val="Title"/>
            <w:rPr>
              <w:rStyle w:val="SubtitleChar"/>
            </w:rPr>
          </w:pPr>
          <w:bookmarkStart w:id="6" w:name="titel"/>
          <w:r w:rsidRPr="00B36546">
            <w:t>Scorecard</w:t>
          </w:r>
          <w:bookmarkEnd w:id="6"/>
          <w:r w:rsidRPr="00B36546">
            <w:t xml:space="preserve">  </w:t>
          </w:r>
          <w:bookmarkStart w:id="7" w:name="subtitel"/>
          <w:r>
            <w:t xml:space="preserve"> </w:t>
          </w:r>
          <w:bookmarkEnd w:id="7"/>
          <w:r>
            <w:rPr>
              <w:rStyle w:val="SubtitleChar"/>
            </w:rPr>
            <w:t>World Bank</w:t>
          </w:r>
        </w:p>
        <w:p w14:paraId="4EE5EC66" w14:textId="77777777" w:rsidR="009C0B84" w:rsidRDefault="009C0B84" w:rsidP="007816ED">
          <w:pPr>
            <w:pStyle w:val="Title"/>
          </w:pPr>
        </w:p>
        <w:p w14:paraId="65AADCB8" w14:textId="77777777" w:rsidR="009C0B84" w:rsidRPr="00B36546" w:rsidRDefault="009C0B84" w:rsidP="007816ED">
          <w:pPr>
            <w:rPr>
              <w:lang w:val="en-GB"/>
            </w:rPr>
          </w:pPr>
        </w:p>
        <w:p w14:paraId="66E26C9D" w14:textId="77777777" w:rsidR="009C0B84" w:rsidRPr="00B36546" w:rsidRDefault="009C0B84" w:rsidP="007816ED">
          <w:pPr>
            <w:tabs>
              <w:tab w:val="left" w:pos="3281"/>
            </w:tabs>
            <w:rPr>
              <w:lang w:val="en-GB"/>
            </w:rPr>
          </w:pPr>
          <w:r w:rsidRPr="00B36546">
            <w:rPr>
              <w:lang w:val="en-GB"/>
            </w:rPr>
            <w:tab/>
          </w:r>
        </w:p>
      </w:tc>
    </w:tr>
    <w:tr w:rsidR="009C0B84" w:rsidRPr="00B36546" w14:paraId="676A04F4" w14:textId="77777777">
      <w:trPr>
        <w:cantSplit/>
        <w:trHeight w:hRule="exact" w:val="240"/>
      </w:trPr>
      <w:tc>
        <w:tcPr>
          <w:tcW w:w="5640" w:type="dxa"/>
          <w:shd w:val="clear" w:color="auto" w:fill="auto"/>
        </w:tcPr>
        <w:p w14:paraId="63C06831" w14:textId="77777777" w:rsidR="009C0B84" w:rsidRPr="00B36546" w:rsidRDefault="009C0B84" w:rsidP="007816ED">
          <w:pPr>
            <w:rPr>
              <w:lang w:val="en-GB"/>
            </w:rPr>
          </w:pPr>
        </w:p>
      </w:tc>
    </w:tr>
    <w:tr w:rsidR="009C0B84" w:rsidRPr="00B36546" w14:paraId="463C1821" w14:textId="77777777">
      <w:trPr>
        <w:cantSplit/>
        <w:trHeight w:hRule="exact" w:val="480"/>
      </w:trPr>
      <w:tc>
        <w:tcPr>
          <w:tcW w:w="5640" w:type="dxa"/>
          <w:shd w:val="clear" w:color="auto" w:fill="auto"/>
        </w:tcPr>
        <w:p w14:paraId="694CE6B8" w14:textId="77777777" w:rsidR="009C0B84" w:rsidRPr="00B36546" w:rsidRDefault="009C0B84" w:rsidP="007816ED">
          <w:pPr>
            <w:rPr>
              <w:lang w:val="en-GB"/>
            </w:rPr>
          </w:pPr>
        </w:p>
      </w:tc>
    </w:tr>
  </w:tbl>
  <w:p w14:paraId="0A768A6D" w14:textId="13D639E2" w:rsidR="009C0B84" w:rsidRPr="00B36546" w:rsidRDefault="009C0B84">
    <w:pPr>
      <w:rPr>
        <w:lang w:val="en-GB"/>
      </w:rPr>
    </w:pPr>
    <w:r>
      <w:rPr>
        <w:lang w:val="en-GB"/>
      </w:rPr>
      <w:t>Datum</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 xml:space="preserve">15 </w:t>
    </w:r>
    <w:proofErr w:type="spellStart"/>
    <w:r>
      <w:rPr>
        <w:lang w:val="en-GB"/>
      </w:rPr>
      <w:t>augustus</w:t>
    </w:r>
    <w:proofErr w:type="spellEnd"/>
    <w:r>
      <w:rPr>
        <w:lang w:val="en-GB"/>
      </w:rPr>
      <w:t xml:space="preserve"> 2017</w:t>
    </w:r>
  </w:p>
  <w:p w14:paraId="00A92250" w14:textId="77777777" w:rsidR="009C0B84" w:rsidRPr="00B36546" w:rsidRDefault="009C0B84">
    <w:pPr>
      <w:rPr>
        <w:lang w:val="en-GB"/>
      </w:rPr>
    </w:pPr>
  </w:p>
  <w:p w14:paraId="7395F8B4" w14:textId="77777777" w:rsidR="009C0B84" w:rsidRPr="00785F18" w:rsidRDefault="009C0B84" w:rsidP="007816E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A8FC" w14:textId="77777777" w:rsidR="009C0B84" w:rsidRPr="00785F18" w:rsidRDefault="009C0B84" w:rsidP="007816ED">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9C0B84" w:rsidRPr="008517DE" w14:paraId="5290691E" w14:textId="77777777">
      <w:trPr>
        <w:trHeight w:val="400"/>
      </w:trPr>
      <w:tc>
        <w:tcPr>
          <w:tcW w:w="7520" w:type="dxa"/>
          <w:shd w:val="clear" w:color="auto" w:fill="auto"/>
        </w:tcPr>
        <w:p w14:paraId="096DC0F7" w14:textId="58412955" w:rsidR="009C0B84" w:rsidRPr="008517DE" w:rsidRDefault="009C7B76" w:rsidP="007816ED">
          <w:pPr>
            <w:adjustRightInd w:val="0"/>
            <w:spacing w:line="180" w:lineRule="exact"/>
            <w:rPr>
              <w:sz w:val="13"/>
              <w:lang w:val="en-GB"/>
            </w:rPr>
          </w:pPr>
          <w:r>
            <w:fldChar w:fldCharType="begin"/>
          </w:r>
          <w:r>
            <w:instrText xml:space="preserve"> REF  titel  \* MERGEFORMAT </w:instrText>
          </w:r>
          <w:r>
            <w:fldChar w:fldCharType="separate"/>
          </w:r>
          <w:r w:rsidR="00050D3F" w:rsidRPr="00050D3F">
            <w:rPr>
              <w:rStyle w:val="Huisstijl-Koptekst"/>
              <w:sz w:val="18"/>
              <w:szCs w:val="18"/>
              <w:lang w:val="en-GB"/>
            </w:rPr>
            <w:t>Scorecard</w:t>
          </w:r>
          <w:r>
            <w:rPr>
              <w:rStyle w:val="Huisstijl-Koptekst"/>
              <w:sz w:val="18"/>
              <w:szCs w:val="18"/>
              <w:lang w:val="en-GB"/>
            </w:rPr>
            <w:fldChar w:fldCharType="end"/>
          </w:r>
          <w:r w:rsidR="009C0B84" w:rsidRPr="007B163C">
            <w:rPr>
              <w:rStyle w:val="Huisstijl-Koptekst"/>
              <w:lang w:val="en-GB"/>
            </w:rPr>
            <w:t xml:space="preserve"> | </w:t>
          </w:r>
          <w:proofErr w:type="spellStart"/>
          <w:r w:rsidR="009C0B84">
            <w:rPr>
              <w:rStyle w:val="Huisstijl-Koptekst"/>
              <w:lang w:val="en-GB"/>
            </w:rPr>
            <w:t>Organisatie</w:t>
          </w:r>
          <w:proofErr w:type="spellEnd"/>
          <w:r w:rsidR="009C0B84" w:rsidRPr="008517DE">
            <w:rPr>
              <w:sz w:val="13"/>
              <w:lang w:val="en-GB"/>
            </w:rPr>
            <w:t xml:space="preserve"> </w:t>
          </w:r>
        </w:p>
      </w:tc>
    </w:tr>
  </w:tbl>
  <w:p w14:paraId="091D963E" w14:textId="77777777" w:rsidR="009C0B84" w:rsidRPr="008517DE" w:rsidRDefault="009C0B84" w:rsidP="007816ED">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E521D6A"/>
    <w:lvl w:ilvl="0">
      <w:start w:val="1"/>
      <w:numFmt w:val="decimal"/>
      <w:pStyle w:val="ListNumber2"/>
      <w:lvlText w:val="%1"/>
      <w:lvlJc w:val="left"/>
      <w:pPr>
        <w:tabs>
          <w:tab w:val="num" w:pos="454"/>
        </w:tabs>
        <w:ind w:left="454" w:hanging="227"/>
      </w:pPr>
      <w:rPr>
        <w:rFonts w:hint="default"/>
        <w:color w:val="auto"/>
      </w:rPr>
    </w:lvl>
  </w:abstractNum>
  <w:abstractNum w:abstractNumId="1" w15:restartNumberingAfterBreak="0">
    <w:nsid w:val="03BB5F57"/>
    <w:multiLevelType w:val="multilevel"/>
    <w:tmpl w:val="5AEEDE88"/>
    <w:numStyleLink w:val="StyleBulleted"/>
  </w:abstractNum>
  <w:abstractNum w:abstractNumId="2" w15:restartNumberingAfterBreak="0">
    <w:nsid w:val="03C54426"/>
    <w:multiLevelType w:val="multilevel"/>
    <w:tmpl w:val="37761C3E"/>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4" w15:restartNumberingAfterBreak="0">
    <w:nsid w:val="0A1B58B4"/>
    <w:multiLevelType w:val="hybridMultilevel"/>
    <w:tmpl w:val="9952683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10B51873"/>
    <w:multiLevelType w:val="hybridMultilevel"/>
    <w:tmpl w:val="75B881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10E54B47"/>
    <w:multiLevelType w:val="multilevel"/>
    <w:tmpl w:val="6D5CBB0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7" w15:restartNumberingAfterBreak="0">
    <w:nsid w:val="13100EB3"/>
    <w:multiLevelType w:val="hybridMultilevel"/>
    <w:tmpl w:val="D514DF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623655D"/>
    <w:multiLevelType w:val="multilevel"/>
    <w:tmpl w:val="5AEEDE88"/>
    <w:numStyleLink w:val="StyleBulleted"/>
  </w:abstractNum>
  <w:abstractNum w:abstractNumId="9" w15:restartNumberingAfterBreak="0">
    <w:nsid w:val="16E15E6E"/>
    <w:multiLevelType w:val="multilevel"/>
    <w:tmpl w:val="9A94B77A"/>
    <w:lvl w:ilvl="0">
      <w:start w:val="5"/>
      <w:numFmt w:val="decimal"/>
      <w:lvlText w:val="%1"/>
      <w:lvlJc w:val="left"/>
      <w:pPr>
        <w:ind w:left="360" w:hanging="360"/>
      </w:pPr>
      <w:rPr>
        <w:rFonts w:hint="default"/>
        <w:b w:val="0"/>
      </w:rPr>
    </w:lvl>
    <w:lvl w:ilvl="1">
      <w:start w:val="2"/>
      <w:numFmt w:val="decimal"/>
      <w:lvlText w:val="%1.%2"/>
      <w:lvlJc w:val="left"/>
      <w:pPr>
        <w:ind w:left="-82" w:hanging="720"/>
      </w:pPr>
      <w:rPr>
        <w:rFonts w:hint="default"/>
        <w:b/>
      </w:rPr>
    </w:lvl>
    <w:lvl w:ilvl="2">
      <w:start w:val="1"/>
      <w:numFmt w:val="decimal"/>
      <w:lvlText w:val="%1.%2.%3"/>
      <w:lvlJc w:val="left"/>
      <w:pPr>
        <w:ind w:left="-884" w:hanging="720"/>
      </w:pPr>
      <w:rPr>
        <w:rFonts w:hint="default"/>
        <w:b w:val="0"/>
      </w:rPr>
    </w:lvl>
    <w:lvl w:ilvl="3">
      <w:start w:val="1"/>
      <w:numFmt w:val="decimal"/>
      <w:lvlText w:val="%1.%2.%3.%4"/>
      <w:lvlJc w:val="left"/>
      <w:pPr>
        <w:ind w:left="-1326" w:hanging="1080"/>
      </w:pPr>
      <w:rPr>
        <w:rFonts w:hint="default"/>
        <w:b w:val="0"/>
      </w:rPr>
    </w:lvl>
    <w:lvl w:ilvl="4">
      <w:start w:val="1"/>
      <w:numFmt w:val="decimal"/>
      <w:lvlText w:val="%1.%2.%3.%4.%5"/>
      <w:lvlJc w:val="left"/>
      <w:pPr>
        <w:ind w:left="-2128" w:hanging="1080"/>
      </w:pPr>
      <w:rPr>
        <w:rFonts w:hint="default"/>
        <w:b w:val="0"/>
      </w:rPr>
    </w:lvl>
    <w:lvl w:ilvl="5">
      <w:start w:val="1"/>
      <w:numFmt w:val="decimal"/>
      <w:lvlText w:val="%1.%2.%3.%4.%5.%6"/>
      <w:lvlJc w:val="left"/>
      <w:pPr>
        <w:ind w:left="-2570" w:hanging="1440"/>
      </w:pPr>
      <w:rPr>
        <w:rFonts w:hint="default"/>
        <w:b w:val="0"/>
      </w:rPr>
    </w:lvl>
    <w:lvl w:ilvl="6">
      <w:start w:val="1"/>
      <w:numFmt w:val="decimal"/>
      <w:lvlText w:val="%1.%2.%3.%4.%5.%6.%7"/>
      <w:lvlJc w:val="left"/>
      <w:pPr>
        <w:ind w:left="-3012" w:hanging="1800"/>
      </w:pPr>
      <w:rPr>
        <w:rFonts w:hint="default"/>
        <w:b w:val="0"/>
      </w:rPr>
    </w:lvl>
    <w:lvl w:ilvl="7">
      <w:start w:val="1"/>
      <w:numFmt w:val="decimal"/>
      <w:lvlText w:val="%1.%2.%3.%4.%5.%6.%7.%8"/>
      <w:lvlJc w:val="left"/>
      <w:pPr>
        <w:ind w:left="-3814" w:hanging="1800"/>
      </w:pPr>
      <w:rPr>
        <w:rFonts w:hint="default"/>
        <w:b w:val="0"/>
      </w:rPr>
    </w:lvl>
    <w:lvl w:ilvl="8">
      <w:start w:val="1"/>
      <w:numFmt w:val="decimal"/>
      <w:lvlText w:val="%1.%2.%3.%4.%5.%6.%7.%8.%9"/>
      <w:lvlJc w:val="left"/>
      <w:pPr>
        <w:ind w:left="-4256" w:hanging="2160"/>
      </w:pPr>
      <w:rPr>
        <w:rFonts w:hint="default"/>
        <w:b w:val="0"/>
      </w:rPr>
    </w:lvl>
  </w:abstractNum>
  <w:abstractNum w:abstractNumId="10" w15:restartNumberingAfterBreak="0">
    <w:nsid w:val="177758AC"/>
    <w:multiLevelType w:val="hybridMultilevel"/>
    <w:tmpl w:val="10F4AC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A5A20BC"/>
    <w:multiLevelType w:val="multilevel"/>
    <w:tmpl w:val="5AEEDE88"/>
    <w:numStyleLink w:val="StyleBulleted"/>
  </w:abstractNum>
  <w:abstractNum w:abstractNumId="12" w15:restartNumberingAfterBreak="0">
    <w:nsid w:val="1E2809B5"/>
    <w:multiLevelType w:val="hybridMultilevel"/>
    <w:tmpl w:val="2B5816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1E793868"/>
    <w:multiLevelType w:val="hybridMultilevel"/>
    <w:tmpl w:val="B320437C"/>
    <w:lvl w:ilvl="0" w:tplc="04130001">
      <w:start w:val="1"/>
      <w:numFmt w:val="bullet"/>
      <w:lvlText w:val=""/>
      <w:lvlJc w:val="left"/>
      <w:pPr>
        <w:ind w:left="133" w:hanging="360"/>
      </w:pPr>
      <w:rPr>
        <w:rFonts w:ascii="Symbol" w:hAnsi="Symbol" w:hint="default"/>
      </w:rPr>
    </w:lvl>
    <w:lvl w:ilvl="1" w:tplc="04130003" w:tentative="1">
      <w:start w:val="1"/>
      <w:numFmt w:val="bullet"/>
      <w:lvlText w:val="o"/>
      <w:lvlJc w:val="left"/>
      <w:pPr>
        <w:ind w:left="853" w:hanging="360"/>
      </w:pPr>
      <w:rPr>
        <w:rFonts w:ascii="Courier New" w:hAnsi="Courier New" w:cs="Courier New" w:hint="default"/>
      </w:rPr>
    </w:lvl>
    <w:lvl w:ilvl="2" w:tplc="04130005" w:tentative="1">
      <w:start w:val="1"/>
      <w:numFmt w:val="bullet"/>
      <w:lvlText w:val=""/>
      <w:lvlJc w:val="left"/>
      <w:pPr>
        <w:ind w:left="1573" w:hanging="360"/>
      </w:pPr>
      <w:rPr>
        <w:rFonts w:ascii="Wingdings" w:hAnsi="Wingdings" w:hint="default"/>
      </w:rPr>
    </w:lvl>
    <w:lvl w:ilvl="3" w:tplc="04130001" w:tentative="1">
      <w:start w:val="1"/>
      <w:numFmt w:val="bullet"/>
      <w:lvlText w:val=""/>
      <w:lvlJc w:val="left"/>
      <w:pPr>
        <w:ind w:left="2293" w:hanging="360"/>
      </w:pPr>
      <w:rPr>
        <w:rFonts w:ascii="Symbol" w:hAnsi="Symbol" w:hint="default"/>
      </w:rPr>
    </w:lvl>
    <w:lvl w:ilvl="4" w:tplc="04130003" w:tentative="1">
      <w:start w:val="1"/>
      <w:numFmt w:val="bullet"/>
      <w:lvlText w:val="o"/>
      <w:lvlJc w:val="left"/>
      <w:pPr>
        <w:ind w:left="3013" w:hanging="360"/>
      </w:pPr>
      <w:rPr>
        <w:rFonts w:ascii="Courier New" w:hAnsi="Courier New" w:cs="Courier New" w:hint="default"/>
      </w:rPr>
    </w:lvl>
    <w:lvl w:ilvl="5" w:tplc="04130005" w:tentative="1">
      <w:start w:val="1"/>
      <w:numFmt w:val="bullet"/>
      <w:lvlText w:val=""/>
      <w:lvlJc w:val="left"/>
      <w:pPr>
        <w:ind w:left="3733" w:hanging="360"/>
      </w:pPr>
      <w:rPr>
        <w:rFonts w:ascii="Wingdings" w:hAnsi="Wingdings" w:hint="default"/>
      </w:rPr>
    </w:lvl>
    <w:lvl w:ilvl="6" w:tplc="04130001" w:tentative="1">
      <w:start w:val="1"/>
      <w:numFmt w:val="bullet"/>
      <w:lvlText w:val=""/>
      <w:lvlJc w:val="left"/>
      <w:pPr>
        <w:ind w:left="4453" w:hanging="360"/>
      </w:pPr>
      <w:rPr>
        <w:rFonts w:ascii="Symbol" w:hAnsi="Symbol" w:hint="default"/>
      </w:rPr>
    </w:lvl>
    <w:lvl w:ilvl="7" w:tplc="04130003" w:tentative="1">
      <w:start w:val="1"/>
      <w:numFmt w:val="bullet"/>
      <w:lvlText w:val="o"/>
      <w:lvlJc w:val="left"/>
      <w:pPr>
        <w:ind w:left="5173" w:hanging="360"/>
      </w:pPr>
      <w:rPr>
        <w:rFonts w:ascii="Courier New" w:hAnsi="Courier New" w:cs="Courier New" w:hint="default"/>
      </w:rPr>
    </w:lvl>
    <w:lvl w:ilvl="8" w:tplc="04130005" w:tentative="1">
      <w:start w:val="1"/>
      <w:numFmt w:val="bullet"/>
      <w:lvlText w:val=""/>
      <w:lvlJc w:val="left"/>
      <w:pPr>
        <w:ind w:left="5893" w:hanging="360"/>
      </w:pPr>
      <w:rPr>
        <w:rFonts w:ascii="Wingdings" w:hAnsi="Wingdings" w:hint="default"/>
      </w:rPr>
    </w:lvl>
  </w:abstractNum>
  <w:abstractNum w:abstractNumId="14" w15:restartNumberingAfterBreak="0">
    <w:nsid w:val="1F803251"/>
    <w:multiLevelType w:val="hybridMultilevel"/>
    <w:tmpl w:val="00308E16"/>
    <w:lvl w:ilvl="0" w:tplc="7CB8302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8E5206"/>
    <w:multiLevelType w:val="hybridMultilevel"/>
    <w:tmpl w:val="0CE4D9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2F82FF2"/>
    <w:multiLevelType w:val="multilevel"/>
    <w:tmpl w:val="5AEEDE88"/>
    <w:numStyleLink w:val="StyleBulleted"/>
  </w:abstractNum>
  <w:abstractNum w:abstractNumId="17" w15:restartNumberingAfterBreak="0">
    <w:nsid w:val="25614042"/>
    <w:multiLevelType w:val="hybridMultilevel"/>
    <w:tmpl w:val="8976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72E4A80"/>
    <w:multiLevelType w:val="hybridMultilevel"/>
    <w:tmpl w:val="C316A3A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2E691DDE"/>
    <w:multiLevelType w:val="hybridMultilevel"/>
    <w:tmpl w:val="8E721CF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alibri"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alibri"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alibri"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2E8B3725"/>
    <w:multiLevelType w:val="hybridMultilevel"/>
    <w:tmpl w:val="B6E0407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320E7DD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2" w15:restartNumberingAfterBreak="0">
    <w:nsid w:val="372126F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3" w15:restartNumberingAfterBreak="0">
    <w:nsid w:val="38752550"/>
    <w:multiLevelType w:val="hybridMultilevel"/>
    <w:tmpl w:val="9C80422A"/>
    <w:lvl w:ilvl="0" w:tplc="17B82BDA">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9F36539"/>
    <w:multiLevelType w:val="hybridMultilevel"/>
    <w:tmpl w:val="2F681B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6" w15:restartNumberingAfterBreak="0">
    <w:nsid w:val="408335F4"/>
    <w:multiLevelType w:val="multilevel"/>
    <w:tmpl w:val="5AEEDE88"/>
    <w:numStyleLink w:val="StyleBulleted"/>
  </w:abstractNum>
  <w:abstractNum w:abstractNumId="27" w15:restartNumberingAfterBreak="0">
    <w:nsid w:val="4614367E"/>
    <w:multiLevelType w:val="multilevel"/>
    <w:tmpl w:val="E6B0A60A"/>
    <w:lvl w:ilvl="0">
      <w:start w:val="3"/>
      <w:numFmt w:val="decimal"/>
      <w:lvlText w:val="%1"/>
      <w:lvlJc w:val="left"/>
      <w:pPr>
        <w:ind w:left="-802" w:hanging="360"/>
      </w:pPr>
      <w:rPr>
        <w:rFonts w:hint="default"/>
      </w:rPr>
    </w:lvl>
    <w:lvl w:ilvl="1">
      <w:start w:val="2"/>
      <w:numFmt w:val="decimal"/>
      <w:isLgl/>
      <w:lvlText w:val="%1.%2"/>
      <w:lvlJc w:val="left"/>
      <w:pPr>
        <w:ind w:left="-442" w:hanging="720"/>
      </w:pPr>
      <w:rPr>
        <w:rFonts w:hint="default"/>
      </w:rPr>
    </w:lvl>
    <w:lvl w:ilvl="2">
      <w:start w:val="1"/>
      <w:numFmt w:val="decimal"/>
      <w:isLgl/>
      <w:lvlText w:val="%1.%2.%3"/>
      <w:lvlJc w:val="left"/>
      <w:pPr>
        <w:ind w:left="-442" w:hanging="720"/>
      </w:pPr>
      <w:rPr>
        <w:rFonts w:hint="default"/>
      </w:rPr>
    </w:lvl>
    <w:lvl w:ilvl="3">
      <w:start w:val="1"/>
      <w:numFmt w:val="decimal"/>
      <w:isLgl/>
      <w:lvlText w:val="%1.%2.%3.%4"/>
      <w:lvlJc w:val="left"/>
      <w:pPr>
        <w:ind w:left="-82" w:hanging="1080"/>
      </w:pPr>
      <w:rPr>
        <w:rFonts w:hint="default"/>
      </w:rPr>
    </w:lvl>
    <w:lvl w:ilvl="4">
      <w:start w:val="1"/>
      <w:numFmt w:val="decimal"/>
      <w:isLgl/>
      <w:lvlText w:val="%1.%2.%3.%4.%5"/>
      <w:lvlJc w:val="left"/>
      <w:pPr>
        <w:ind w:left="-82" w:hanging="1080"/>
      </w:pPr>
      <w:rPr>
        <w:rFonts w:hint="default"/>
      </w:rPr>
    </w:lvl>
    <w:lvl w:ilvl="5">
      <w:start w:val="1"/>
      <w:numFmt w:val="decimal"/>
      <w:isLgl/>
      <w:lvlText w:val="%1.%2.%3.%4.%5.%6"/>
      <w:lvlJc w:val="left"/>
      <w:pPr>
        <w:ind w:left="278" w:hanging="1440"/>
      </w:pPr>
      <w:rPr>
        <w:rFonts w:hint="default"/>
      </w:rPr>
    </w:lvl>
    <w:lvl w:ilvl="6">
      <w:start w:val="1"/>
      <w:numFmt w:val="decimal"/>
      <w:isLgl/>
      <w:lvlText w:val="%1.%2.%3.%4.%5.%6.%7"/>
      <w:lvlJc w:val="left"/>
      <w:pPr>
        <w:ind w:left="638" w:hanging="1800"/>
      </w:pPr>
      <w:rPr>
        <w:rFonts w:hint="default"/>
      </w:rPr>
    </w:lvl>
    <w:lvl w:ilvl="7">
      <w:start w:val="1"/>
      <w:numFmt w:val="decimal"/>
      <w:isLgl/>
      <w:lvlText w:val="%1.%2.%3.%4.%5.%6.%7.%8"/>
      <w:lvlJc w:val="left"/>
      <w:pPr>
        <w:ind w:left="638" w:hanging="1800"/>
      </w:pPr>
      <w:rPr>
        <w:rFonts w:hint="default"/>
      </w:rPr>
    </w:lvl>
    <w:lvl w:ilvl="8">
      <w:start w:val="1"/>
      <w:numFmt w:val="decimal"/>
      <w:isLgl/>
      <w:lvlText w:val="%1.%2.%3.%4.%5.%6.%7.%8.%9"/>
      <w:lvlJc w:val="left"/>
      <w:pPr>
        <w:ind w:left="998" w:hanging="2160"/>
      </w:pPr>
      <w:rPr>
        <w:rFonts w:hint="default"/>
      </w:rPr>
    </w:lvl>
  </w:abstractNum>
  <w:abstractNum w:abstractNumId="28" w15:restartNumberingAfterBreak="0">
    <w:nsid w:val="4C6D2E8B"/>
    <w:multiLevelType w:val="multilevel"/>
    <w:tmpl w:val="723E1294"/>
    <w:lvl w:ilvl="0">
      <w:start w:val="4"/>
      <w:numFmt w:val="decimal"/>
      <w:lvlText w:val="%1"/>
      <w:lvlJc w:val="left"/>
      <w:pPr>
        <w:ind w:left="360" w:hanging="360"/>
      </w:pPr>
      <w:rPr>
        <w:rFonts w:hint="default"/>
      </w:rPr>
    </w:lvl>
    <w:lvl w:ilvl="1">
      <w:start w:val="2"/>
      <w:numFmt w:val="decimal"/>
      <w:lvlText w:val="%1.%2"/>
      <w:lvlJc w:val="left"/>
      <w:pPr>
        <w:ind w:left="-442" w:hanging="72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172" w:hanging="180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29" w15:restartNumberingAfterBreak="0">
    <w:nsid w:val="4E153E44"/>
    <w:multiLevelType w:val="hybridMultilevel"/>
    <w:tmpl w:val="0A604B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E207249"/>
    <w:multiLevelType w:val="hybridMultilevel"/>
    <w:tmpl w:val="69405766"/>
    <w:lvl w:ilvl="0" w:tplc="8BF24382">
      <w:start w:val="3"/>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C015109"/>
    <w:multiLevelType w:val="hybridMultilevel"/>
    <w:tmpl w:val="35AA116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5D750EE7"/>
    <w:multiLevelType w:val="multilevel"/>
    <w:tmpl w:val="5AEEDE88"/>
    <w:numStyleLink w:val="StyleBulleted"/>
  </w:abstractNum>
  <w:abstractNum w:abstractNumId="33" w15:restartNumberingAfterBreak="0">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34" w15:restartNumberingAfterBreak="0">
    <w:nsid w:val="63404D5D"/>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5" w15:restartNumberingAfterBreak="0">
    <w:nsid w:val="63A20AAC"/>
    <w:multiLevelType w:val="multilevel"/>
    <w:tmpl w:val="5AEEDE88"/>
    <w:numStyleLink w:val="StyleBulleted"/>
  </w:abstractNum>
  <w:abstractNum w:abstractNumId="36" w15:restartNumberingAfterBreak="0">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37" w15:restartNumberingAfterBreak="0">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8" w15:restartNumberingAfterBreak="0">
    <w:nsid w:val="6D193965"/>
    <w:multiLevelType w:val="multilevel"/>
    <w:tmpl w:val="5AEEDE88"/>
    <w:numStyleLink w:val="StyleBulleted"/>
  </w:abstractNum>
  <w:abstractNum w:abstractNumId="39" w15:restartNumberingAfterBreak="0">
    <w:nsid w:val="6F1B2CBC"/>
    <w:multiLevelType w:val="multilevel"/>
    <w:tmpl w:val="5AEEDE88"/>
    <w:numStyleLink w:val="StyleBulleted"/>
  </w:abstractNum>
  <w:abstractNum w:abstractNumId="40" w15:restartNumberingAfterBreak="0">
    <w:nsid w:val="71A63D8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41" w15:restartNumberingAfterBreak="0">
    <w:nsid w:val="77555624"/>
    <w:multiLevelType w:val="multilevel"/>
    <w:tmpl w:val="53AC82DE"/>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42" w15:restartNumberingAfterBreak="0">
    <w:nsid w:val="7AE14C9B"/>
    <w:multiLevelType w:val="hybridMultilevel"/>
    <w:tmpl w:val="267A61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B03624F"/>
    <w:multiLevelType w:val="hybridMultilevel"/>
    <w:tmpl w:val="6E5E6D7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4" w15:restartNumberingAfterBreak="0">
    <w:nsid w:val="7BA00343"/>
    <w:multiLevelType w:val="hybridMultilevel"/>
    <w:tmpl w:val="BBDA40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3"/>
  </w:num>
  <w:num w:numId="2">
    <w:abstractNumId w:val="36"/>
  </w:num>
  <w:num w:numId="3">
    <w:abstractNumId w:val="25"/>
  </w:num>
  <w:num w:numId="4">
    <w:abstractNumId w:val="0"/>
  </w:num>
  <w:num w:numId="5">
    <w:abstractNumId w:val="37"/>
  </w:num>
  <w:num w:numId="6">
    <w:abstractNumId w:val="3"/>
  </w:num>
  <w:num w:numId="7">
    <w:abstractNumId w:val="14"/>
  </w:num>
  <w:num w:numId="8">
    <w:abstractNumId w:val="39"/>
  </w:num>
  <w:num w:numId="9">
    <w:abstractNumId w:val="35"/>
  </w:num>
  <w:num w:numId="10">
    <w:abstractNumId w:val="16"/>
  </w:num>
  <w:num w:numId="11">
    <w:abstractNumId w:val="8"/>
  </w:num>
  <w:num w:numId="12">
    <w:abstractNumId w:val="38"/>
  </w:num>
  <w:num w:numId="13">
    <w:abstractNumId w:val="22"/>
  </w:num>
  <w:num w:numId="14">
    <w:abstractNumId w:val="1"/>
  </w:num>
  <w:num w:numId="15">
    <w:abstractNumId w:val="11"/>
  </w:num>
  <w:num w:numId="16">
    <w:abstractNumId w:val="34"/>
  </w:num>
  <w:num w:numId="17">
    <w:abstractNumId w:val="26"/>
  </w:num>
  <w:num w:numId="18">
    <w:abstractNumId w:val="32"/>
  </w:num>
  <w:num w:numId="19">
    <w:abstractNumId w:val="21"/>
  </w:num>
  <w:num w:numId="20">
    <w:abstractNumId w:val="41"/>
  </w:num>
  <w:num w:numId="21">
    <w:abstractNumId w:val="6"/>
  </w:num>
  <w:num w:numId="22">
    <w:abstractNumId w:val="28"/>
  </w:num>
  <w:num w:numId="23">
    <w:abstractNumId w:val="42"/>
  </w:num>
  <w:num w:numId="24">
    <w:abstractNumId w:val="17"/>
  </w:num>
  <w:num w:numId="25">
    <w:abstractNumId w:val="17"/>
  </w:num>
  <w:num w:numId="26">
    <w:abstractNumId w:val="13"/>
  </w:num>
  <w:num w:numId="27">
    <w:abstractNumId w:val="12"/>
  </w:num>
  <w:num w:numId="28">
    <w:abstractNumId w:val="10"/>
  </w:num>
  <w:num w:numId="29">
    <w:abstractNumId w:val="7"/>
  </w:num>
  <w:num w:numId="30">
    <w:abstractNumId w:val="4"/>
  </w:num>
  <w:num w:numId="31">
    <w:abstractNumId w:val="24"/>
  </w:num>
  <w:num w:numId="32">
    <w:abstractNumId w:val="23"/>
  </w:num>
  <w:num w:numId="33">
    <w:abstractNumId w:val="18"/>
  </w:num>
  <w:num w:numId="34">
    <w:abstractNumId w:val="44"/>
  </w:num>
  <w:num w:numId="35">
    <w:abstractNumId w:val="5"/>
  </w:num>
  <w:num w:numId="36">
    <w:abstractNumId w:val="30"/>
  </w:num>
  <w:num w:numId="37">
    <w:abstractNumId w:val="40"/>
  </w:num>
  <w:num w:numId="38">
    <w:abstractNumId w:val="15"/>
  </w:num>
  <w:num w:numId="39">
    <w:abstractNumId w:val="29"/>
  </w:num>
  <w:num w:numId="40">
    <w:abstractNumId w:val="19"/>
  </w:num>
  <w:num w:numId="41">
    <w:abstractNumId w:val="20"/>
  </w:num>
  <w:num w:numId="42">
    <w:abstractNumId w:val="2"/>
  </w:num>
  <w:num w:numId="43">
    <w:abstractNumId w:val="27"/>
  </w:num>
  <w:num w:numId="44">
    <w:abstractNumId w:val="31"/>
  </w:num>
  <w:num w:numId="45">
    <w:abstractNumId w:val="43"/>
  </w:num>
  <w:num w:numId="46">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69633"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18"/>
    <w:rsid w:val="000133FF"/>
    <w:rsid w:val="00050D3F"/>
    <w:rsid w:val="000645C2"/>
    <w:rsid w:val="00074A05"/>
    <w:rsid w:val="00087776"/>
    <w:rsid w:val="000A4F55"/>
    <w:rsid w:val="000B025A"/>
    <w:rsid w:val="000C5140"/>
    <w:rsid w:val="000D4CC5"/>
    <w:rsid w:val="0010298B"/>
    <w:rsid w:val="001157AB"/>
    <w:rsid w:val="00126A17"/>
    <w:rsid w:val="00151942"/>
    <w:rsid w:val="00162E32"/>
    <w:rsid w:val="0019069B"/>
    <w:rsid w:val="00190F3D"/>
    <w:rsid w:val="00194E25"/>
    <w:rsid w:val="00196815"/>
    <w:rsid w:val="001C0A71"/>
    <w:rsid w:val="001C4FD9"/>
    <w:rsid w:val="001D05E7"/>
    <w:rsid w:val="001E2549"/>
    <w:rsid w:val="001E3814"/>
    <w:rsid w:val="001E6B30"/>
    <w:rsid w:val="00212839"/>
    <w:rsid w:val="0022356A"/>
    <w:rsid w:val="00232DB2"/>
    <w:rsid w:val="00276473"/>
    <w:rsid w:val="00290199"/>
    <w:rsid w:val="00290396"/>
    <w:rsid w:val="002903C4"/>
    <w:rsid w:val="002B6F5F"/>
    <w:rsid w:val="002C7001"/>
    <w:rsid w:val="002D1811"/>
    <w:rsid w:val="002D1DA7"/>
    <w:rsid w:val="002D3CE4"/>
    <w:rsid w:val="002D5AAC"/>
    <w:rsid w:val="002E0BE5"/>
    <w:rsid w:val="002E2638"/>
    <w:rsid w:val="002F2DDC"/>
    <w:rsid w:val="00307D86"/>
    <w:rsid w:val="0031508F"/>
    <w:rsid w:val="00321758"/>
    <w:rsid w:val="00330C65"/>
    <w:rsid w:val="00354C67"/>
    <w:rsid w:val="00357766"/>
    <w:rsid w:val="003766B3"/>
    <w:rsid w:val="003878BF"/>
    <w:rsid w:val="003A4056"/>
    <w:rsid w:val="003A6D08"/>
    <w:rsid w:val="003C1BAD"/>
    <w:rsid w:val="003D0146"/>
    <w:rsid w:val="003D22FE"/>
    <w:rsid w:val="003D7CAC"/>
    <w:rsid w:val="003F03AB"/>
    <w:rsid w:val="00404029"/>
    <w:rsid w:val="00414D6F"/>
    <w:rsid w:val="0043001D"/>
    <w:rsid w:val="00461DAD"/>
    <w:rsid w:val="00472820"/>
    <w:rsid w:val="004729BE"/>
    <w:rsid w:val="00485033"/>
    <w:rsid w:val="004C4073"/>
    <w:rsid w:val="004D66D7"/>
    <w:rsid w:val="004E4757"/>
    <w:rsid w:val="004E5BD5"/>
    <w:rsid w:val="005112AC"/>
    <w:rsid w:val="00560B07"/>
    <w:rsid w:val="00573AF4"/>
    <w:rsid w:val="005862D0"/>
    <w:rsid w:val="00590CAE"/>
    <w:rsid w:val="005B3A67"/>
    <w:rsid w:val="005C7430"/>
    <w:rsid w:val="00600C9A"/>
    <w:rsid w:val="006051D5"/>
    <w:rsid w:val="00607CF3"/>
    <w:rsid w:val="00623590"/>
    <w:rsid w:val="00625C19"/>
    <w:rsid w:val="00627A6A"/>
    <w:rsid w:val="0066064F"/>
    <w:rsid w:val="006666BE"/>
    <w:rsid w:val="00695BB0"/>
    <w:rsid w:val="006A0386"/>
    <w:rsid w:val="006B14A2"/>
    <w:rsid w:val="006C3E4F"/>
    <w:rsid w:val="006D45A6"/>
    <w:rsid w:val="006E24AF"/>
    <w:rsid w:val="00735F3D"/>
    <w:rsid w:val="0073792C"/>
    <w:rsid w:val="00743B57"/>
    <w:rsid w:val="0075659C"/>
    <w:rsid w:val="00762D4C"/>
    <w:rsid w:val="007816ED"/>
    <w:rsid w:val="007819E1"/>
    <w:rsid w:val="00785F18"/>
    <w:rsid w:val="007920CC"/>
    <w:rsid w:val="00794890"/>
    <w:rsid w:val="007A5B0C"/>
    <w:rsid w:val="007B72E3"/>
    <w:rsid w:val="007D399B"/>
    <w:rsid w:val="007E66E9"/>
    <w:rsid w:val="007E7829"/>
    <w:rsid w:val="007F028F"/>
    <w:rsid w:val="007F3774"/>
    <w:rsid w:val="007F4ED9"/>
    <w:rsid w:val="007F6AB0"/>
    <w:rsid w:val="008058FA"/>
    <w:rsid w:val="00817363"/>
    <w:rsid w:val="00820B12"/>
    <w:rsid w:val="00825C2A"/>
    <w:rsid w:val="00831483"/>
    <w:rsid w:val="00876318"/>
    <w:rsid w:val="00887CD1"/>
    <w:rsid w:val="008A1072"/>
    <w:rsid w:val="008A17FC"/>
    <w:rsid w:val="008B214E"/>
    <w:rsid w:val="008C4116"/>
    <w:rsid w:val="008D2257"/>
    <w:rsid w:val="008E0911"/>
    <w:rsid w:val="00900D67"/>
    <w:rsid w:val="00904570"/>
    <w:rsid w:val="0094457A"/>
    <w:rsid w:val="009617F6"/>
    <w:rsid w:val="0096333A"/>
    <w:rsid w:val="00972DEF"/>
    <w:rsid w:val="00986DE1"/>
    <w:rsid w:val="009A00B2"/>
    <w:rsid w:val="009B4167"/>
    <w:rsid w:val="009B431C"/>
    <w:rsid w:val="009C0B84"/>
    <w:rsid w:val="009C7B76"/>
    <w:rsid w:val="009D5C91"/>
    <w:rsid w:val="009F0DBF"/>
    <w:rsid w:val="00A03AA1"/>
    <w:rsid w:val="00A302CA"/>
    <w:rsid w:val="00A35972"/>
    <w:rsid w:val="00A44335"/>
    <w:rsid w:val="00A4474D"/>
    <w:rsid w:val="00A54767"/>
    <w:rsid w:val="00A60364"/>
    <w:rsid w:val="00A6752A"/>
    <w:rsid w:val="00A840B4"/>
    <w:rsid w:val="00AB5BAB"/>
    <w:rsid w:val="00AD4610"/>
    <w:rsid w:val="00AE45CB"/>
    <w:rsid w:val="00B46A21"/>
    <w:rsid w:val="00B53E51"/>
    <w:rsid w:val="00B73ECF"/>
    <w:rsid w:val="00B76A18"/>
    <w:rsid w:val="00B85A66"/>
    <w:rsid w:val="00B90E28"/>
    <w:rsid w:val="00B91E2D"/>
    <w:rsid w:val="00BA5357"/>
    <w:rsid w:val="00BB2679"/>
    <w:rsid w:val="00BB3457"/>
    <w:rsid w:val="00BC3A3B"/>
    <w:rsid w:val="00BD063A"/>
    <w:rsid w:val="00BE0D70"/>
    <w:rsid w:val="00BF5759"/>
    <w:rsid w:val="00BF7EF7"/>
    <w:rsid w:val="00C00DA7"/>
    <w:rsid w:val="00C10890"/>
    <w:rsid w:val="00C13784"/>
    <w:rsid w:val="00C251F6"/>
    <w:rsid w:val="00C517C2"/>
    <w:rsid w:val="00C55098"/>
    <w:rsid w:val="00C5757D"/>
    <w:rsid w:val="00C6316C"/>
    <w:rsid w:val="00C64230"/>
    <w:rsid w:val="00C71668"/>
    <w:rsid w:val="00CB1A14"/>
    <w:rsid w:val="00CB4F1C"/>
    <w:rsid w:val="00CD29C5"/>
    <w:rsid w:val="00CE283F"/>
    <w:rsid w:val="00CE2FE1"/>
    <w:rsid w:val="00D00300"/>
    <w:rsid w:val="00D5308F"/>
    <w:rsid w:val="00D537DC"/>
    <w:rsid w:val="00D55839"/>
    <w:rsid w:val="00D652DE"/>
    <w:rsid w:val="00D670B4"/>
    <w:rsid w:val="00D85669"/>
    <w:rsid w:val="00D86C91"/>
    <w:rsid w:val="00DA0C96"/>
    <w:rsid w:val="00DB41A1"/>
    <w:rsid w:val="00DC17BE"/>
    <w:rsid w:val="00DC5DF4"/>
    <w:rsid w:val="00DC69B7"/>
    <w:rsid w:val="00DD3445"/>
    <w:rsid w:val="00DE129C"/>
    <w:rsid w:val="00DE53F7"/>
    <w:rsid w:val="00DF131E"/>
    <w:rsid w:val="00DF3814"/>
    <w:rsid w:val="00E07BFF"/>
    <w:rsid w:val="00E406BE"/>
    <w:rsid w:val="00E41F7D"/>
    <w:rsid w:val="00E43AF0"/>
    <w:rsid w:val="00E56FDF"/>
    <w:rsid w:val="00E60CDD"/>
    <w:rsid w:val="00E671F4"/>
    <w:rsid w:val="00EA6BC2"/>
    <w:rsid w:val="00EC4BA6"/>
    <w:rsid w:val="00EC51F8"/>
    <w:rsid w:val="00EE366A"/>
    <w:rsid w:val="00EE6277"/>
    <w:rsid w:val="00EF425D"/>
    <w:rsid w:val="00EF5548"/>
    <w:rsid w:val="00EF563E"/>
    <w:rsid w:val="00F04896"/>
    <w:rsid w:val="00F07CD5"/>
    <w:rsid w:val="00F10F02"/>
    <w:rsid w:val="00F158F8"/>
    <w:rsid w:val="00F2099E"/>
    <w:rsid w:val="00F43CF7"/>
    <w:rsid w:val="00F56A5C"/>
    <w:rsid w:val="00F80A62"/>
    <w:rsid w:val="00F820C3"/>
    <w:rsid w:val="00F831BC"/>
    <w:rsid w:val="00F9022B"/>
    <w:rsid w:val="00F93C30"/>
    <w:rsid w:val="00FA7C1A"/>
    <w:rsid w:val="00FB3D82"/>
    <w:rsid w:val="00FC3117"/>
    <w:rsid w:val="00FC4924"/>
    <w:rsid w:val="00FC4C0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fill="f" fillcolor="white" stroke="f">
      <v:fill color="white" on="f"/>
      <v:stroke on="f"/>
    </o:shapedefaults>
    <o:shapelayout v:ext="edit">
      <o:idmap v:ext="edit" data="1"/>
    </o:shapelayout>
  </w:shapeDefaults>
  <w:decimalSymbol w:val=","/>
  <w:listSeparator w:val=";"/>
  <w14:docId w14:val="2AE3C57A"/>
  <w15:docId w15:val="{4A014770-800B-4A75-8BEA-DA7042DEB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554"/>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rFonts w:cs="Times New Roman"/>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link w:val="FooterChar"/>
    <w:uiPriority w:val="99"/>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uiPriority w:val="99"/>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link w:val="EndnoteTextChar"/>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EE0CAE"/>
    <w:rPr>
      <w:b/>
      <w:bCs/>
    </w:rPr>
  </w:style>
  <w:style w:type="character" w:customStyle="1" w:styleId="CommentTextChar">
    <w:name w:val="Comment Text Char"/>
    <w:link w:val="CommentText"/>
    <w:semiHidden/>
    <w:rsid w:val="00EE0CAE"/>
    <w:rPr>
      <w:rFonts w:ascii="Verdana" w:hAnsi="Verdana"/>
    </w:rPr>
  </w:style>
  <w:style w:type="character" w:customStyle="1" w:styleId="CommentSubjectChar">
    <w:name w:val="Comment Subject Char"/>
    <w:link w:val="CommentSubject"/>
    <w:rsid w:val="00EE0CAE"/>
    <w:rPr>
      <w:rFonts w:ascii="Verdana" w:hAnsi="Verdana"/>
      <w:b/>
      <w:bCs/>
    </w:rPr>
  </w:style>
  <w:style w:type="paragraph" w:customStyle="1" w:styleId="ColorfulShading-Accent11">
    <w:name w:val="Colorful Shading - Accent 11"/>
    <w:hidden/>
    <w:uiPriority w:val="99"/>
    <w:semiHidden/>
    <w:rsid w:val="008A646F"/>
    <w:rPr>
      <w:rFonts w:ascii="Verdana" w:hAnsi="Verdana"/>
      <w:sz w:val="18"/>
      <w:szCs w:val="24"/>
    </w:rPr>
  </w:style>
  <w:style w:type="character" w:styleId="FollowedHyperlink">
    <w:name w:val="FollowedHyperlink"/>
    <w:rsid w:val="00B4711E"/>
    <w:rPr>
      <w:color w:val="954F72"/>
      <w:u w:val="single"/>
    </w:rPr>
  </w:style>
  <w:style w:type="paragraph" w:customStyle="1" w:styleId="ColorfulList-Accent11">
    <w:name w:val="Colorful List - Accent 11"/>
    <w:aliases w:val="Dot pt,F5 List Paragraph,List Paragraph1,No Spacing1,List Paragraph Char Char Char,Indicator Text,Numbered Para 1,Bullet 1,Bullet Points,Párrafo de lista,MAIN CONTENT,Recommendation,List Paragraph2,Normal numbere"/>
    <w:basedOn w:val="Normal"/>
    <w:link w:val="ColorfulList-Accent1Char"/>
    <w:uiPriority w:val="34"/>
    <w:qFormat/>
    <w:rsid w:val="00661D97"/>
    <w:pPr>
      <w:spacing w:line="240" w:lineRule="auto"/>
      <w:ind w:left="720"/>
      <w:contextualSpacing/>
    </w:pPr>
    <w:rPr>
      <w:rFonts w:ascii="Times New Roman" w:eastAsia="MS Mincho" w:hAnsi="Times New Roman"/>
      <w:sz w:val="24"/>
    </w:rPr>
  </w:style>
  <w:style w:type="character" w:customStyle="1" w:styleId="ColorfulList-Accent1Char">
    <w:name w:val="Colorful List - Accent 1 Char"/>
    <w:aliases w:val="Dot pt Char,F5 List Paragraph Char,List Paragraph1 Char,No Spacing1 Char,List Paragraph Char Char Char Char,Indicator Text Char,Numbered Para 1 Char,Bullet 1 Char,Bullet Points Char,Párrafo de lista Char,MAIN CONTENT Char"/>
    <w:link w:val="ColorfulList-Accent11"/>
    <w:uiPriority w:val="34"/>
    <w:qFormat/>
    <w:locked/>
    <w:rsid w:val="00661D97"/>
    <w:rPr>
      <w:rFonts w:eastAsia="MS Mincho"/>
      <w:sz w:val="24"/>
      <w:szCs w:val="24"/>
    </w:rPr>
  </w:style>
  <w:style w:type="paragraph" w:styleId="ListParagraph">
    <w:name w:val="List Paragraph"/>
    <w:basedOn w:val="Normal"/>
    <w:qFormat/>
    <w:rsid w:val="000D4CC5"/>
    <w:pPr>
      <w:ind w:left="720"/>
      <w:contextualSpacing/>
    </w:pPr>
  </w:style>
  <w:style w:type="character" w:customStyle="1" w:styleId="EndnoteTextChar">
    <w:name w:val="Endnote Text Char"/>
    <w:basedOn w:val="DefaultParagraphFont"/>
    <w:link w:val="EndnoteText"/>
    <w:semiHidden/>
    <w:rsid w:val="00C6316C"/>
    <w:rPr>
      <w:rFonts w:ascii="Verdana" w:hAnsi="Verdana"/>
    </w:rPr>
  </w:style>
  <w:style w:type="character" w:customStyle="1" w:styleId="FooterChar">
    <w:name w:val="Footer Char"/>
    <w:basedOn w:val="DefaultParagraphFont"/>
    <w:link w:val="Footer"/>
    <w:uiPriority w:val="99"/>
    <w:rsid w:val="009C7B76"/>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82924">
      <w:bodyDiv w:val="1"/>
      <w:marLeft w:val="0"/>
      <w:marRight w:val="0"/>
      <w:marTop w:val="0"/>
      <w:marBottom w:val="0"/>
      <w:divBdr>
        <w:top w:val="none" w:sz="0" w:space="0" w:color="auto"/>
        <w:left w:val="none" w:sz="0" w:space="0" w:color="auto"/>
        <w:bottom w:val="none" w:sz="0" w:space="0" w:color="auto"/>
        <w:right w:val="none" w:sz="0" w:space="0" w:color="auto"/>
      </w:divBdr>
    </w:div>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832254646">
      <w:bodyDiv w:val="1"/>
      <w:marLeft w:val="0"/>
      <w:marRight w:val="0"/>
      <w:marTop w:val="0"/>
      <w:marBottom w:val="0"/>
      <w:divBdr>
        <w:top w:val="none" w:sz="0" w:space="0" w:color="auto"/>
        <w:left w:val="none" w:sz="0" w:space="0" w:color="auto"/>
        <w:bottom w:val="none" w:sz="0" w:space="0" w:color="auto"/>
        <w:right w:val="none" w:sz="0" w:space="0" w:color="auto"/>
      </w:divBdr>
    </w:div>
    <w:div w:id="928851298">
      <w:bodyDiv w:val="1"/>
      <w:marLeft w:val="0"/>
      <w:marRight w:val="0"/>
      <w:marTop w:val="0"/>
      <w:marBottom w:val="0"/>
      <w:divBdr>
        <w:top w:val="none" w:sz="0" w:space="0" w:color="auto"/>
        <w:left w:val="none" w:sz="0" w:space="0" w:color="auto"/>
        <w:bottom w:val="none" w:sz="0" w:space="0" w:color="auto"/>
        <w:right w:val="none" w:sz="0" w:space="0" w:color="auto"/>
      </w:divBdr>
    </w:div>
    <w:div w:id="931470801">
      <w:bodyDiv w:val="1"/>
      <w:marLeft w:val="0"/>
      <w:marRight w:val="0"/>
      <w:marTop w:val="0"/>
      <w:marBottom w:val="0"/>
      <w:divBdr>
        <w:top w:val="none" w:sz="0" w:space="0" w:color="auto"/>
        <w:left w:val="none" w:sz="0" w:space="0" w:color="auto"/>
        <w:bottom w:val="none" w:sz="0" w:space="0" w:color="auto"/>
        <w:right w:val="none" w:sz="0" w:space="0" w:color="auto"/>
      </w:divBdr>
    </w:div>
    <w:div w:id="1426917851">
      <w:bodyDiv w:val="1"/>
      <w:marLeft w:val="0"/>
      <w:marRight w:val="0"/>
      <w:marTop w:val="0"/>
      <w:marBottom w:val="0"/>
      <w:divBdr>
        <w:top w:val="none" w:sz="0" w:space="0" w:color="auto"/>
        <w:left w:val="none" w:sz="0" w:space="0" w:color="auto"/>
        <w:bottom w:val="none" w:sz="0" w:space="0" w:color="auto"/>
        <w:right w:val="none" w:sz="0" w:space="0" w:color="auto"/>
      </w:divBdr>
    </w:div>
    <w:div w:id="1981156142">
      <w:bodyDiv w:val="1"/>
      <w:marLeft w:val="0"/>
      <w:marRight w:val="0"/>
      <w:marTop w:val="0"/>
      <w:marBottom w:val="0"/>
      <w:divBdr>
        <w:top w:val="none" w:sz="0" w:space="0" w:color="auto"/>
        <w:left w:val="none" w:sz="0" w:space="0" w:color="auto"/>
        <w:bottom w:val="none" w:sz="0" w:space="0" w:color="auto"/>
        <w:right w:val="none" w:sz="0" w:space="0" w:color="auto"/>
      </w:divBdr>
      <w:divsChild>
        <w:div w:id="1532765630">
          <w:marLeft w:val="0"/>
          <w:marRight w:val="0"/>
          <w:marTop w:val="0"/>
          <w:marBottom w:val="0"/>
          <w:divBdr>
            <w:top w:val="none" w:sz="0" w:space="0" w:color="auto"/>
            <w:left w:val="none" w:sz="0" w:space="0" w:color="auto"/>
            <w:bottom w:val="none" w:sz="0" w:space="0" w:color="auto"/>
            <w:right w:val="none" w:sz="0" w:space="0" w:color="auto"/>
          </w:divBdr>
          <w:divsChild>
            <w:div w:id="1305817861">
              <w:marLeft w:val="0"/>
              <w:marRight w:val="0"/>
              <w:marTop w:val="0"/>
              <w:marBottom w:val="0"/>
              <w:divBdr>
                <w:top w:val="none" w:sz="0" w:space="0" w:color="auto"/>
                <w:left w:val="none" w:sz="0" w:space="0" w:color="auto"/>
                <w:bottom w:val="none" w:sz="0" w:space="0" w:color="auto"/>
                <w:right w:val="none" w:sz="0" w:space="0" w:color="auto"/>
              </w:divBdr>
              <w:divsChild>
                <w:div w:id="577062709">
                  <w:marLeft w:val="0"/>
                  <w:marRight w:val="0"/>
                  <w:marTop w:val="0"/>
                  <w:marBottom w:val="0"/>
                  <w:divBdr>
                    <w:top w:val="none" w:sz="0" w:space="0" w:color="auto"/>
                    <w:left w:val="none" w:sz="0" w:space="0" w:color="auto"/>
                    <w:bottom w:val="none" w:sz="0" w:space="0" w:color="auto"/>
                    <w:right w:val="none" w:sz="0" w:space="0" w:color="auto"/>
                  </w:divBdr>
                  <w:divsChild>
                    <w:div w:id="56650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 w:id="2099136797">
      <w:bodyDiv w:val="1"/>
      <w:marLeft w:val="0"/>
      <w:marRight w:val="0"/>
      <w:marTop w:val="0"/>
      <w:marBottom w:val="0"/>
      <w:divBdr>
        <w:top w:val="none" w:sz="0" w:space="0" w:color="auto"/>
        <w:left w:val="none" w:sz="0" w:space="0" w:color="auto"/>
        <w:bottom w:val="none" w:sz="0" w:space="0" w:color="auto"/>
        <w:right w:val="none" w:sz="0" w:space="0" w:color="auto"/>
      </w:divBdr>
      <w:divsChild>
        <w:div w:id="1124351661">
          <w:marLeft w:val="0"/>
          <w:marRight w:val="0"/>
          <w:marTop w:val="0"/>
          <w:marBottom w:val="0"/>
          <w:divBdr>
            <w:top w:val="none" w:sz="0" w:space="0" w:color="auto"/>
            <w:left w:val="none" w:sz="0" w:space="0" w:color="auto"/>
            <w:bottom w:val="none" w:sz="0" w:space="0" w:color="auto"/>
            <w:right w:val="none" w:sz="0" w:space="0" w:color="auto"/>
          </w:divBdr>
          <w:divsChild>
            <w:div w:id="429278211">
              <w:marLeft w:val="0"/>
              <w:marRight w:val="0"/>
              <w:marTop w:val="0"/>
              <w:marBottom w:val="0"/>
              <w:divBdr>
                <w:top w:val="none" w:sz="0" w:space="0" w:color="auto"/>
                <w:left w:val="none" w:sz="0" w:space="0" w:color="auto"/>
                <w:bottom w:val="none" w:sz="0" w:space="0" w:color="auto"/>
                <w:right w:val="none" w:sz="0" w:space="0" w:color="auto"/>
              </w:divBdr>
              <w:divsChild>
                <w:div w:id="644116909">
                  <w:marLeft w:val="0"/>
                  <w:marRight w:val="0"/>
                  <w:marTop w:val="0"/>
                  <w:marBottom w:val="0"/>
                  <w:divBdr>
                    <w:top w:val="none" w:sz="0" w:space="0" w:color="auto"/>
                    <w:left w:val="none" w:sz="0" w:space="0" w:color="auto"/>
                    <w:bottom w:val="none" w:sz="0" w:space="0" w:color="auto"/>
                    <w:right w:val="none" w:sz="0" w:space="0" w:color="auto"/>
                  </w:divBdr>
                  <w:divsChild>
                    <w:div w:id="3165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D00FE1C956BA45BF0DCD7E4E5F6184" ma:contentTypeVersion="0" ma:contentTypeDescription="Create a new document." ma:contentTypeScope="" ma:versionID="e28042f44dbb528eb8800456998bbc2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84A1B-5009-46E3-8CC4-3848F372E32B}">
  <ds:schemaRefs>
    <ds:schemaRef ds:uri="http://schemas.microsoft.com/sharepoint/v3/contenttype/forms"/>
  </ds:schemaRefs>
</ds:datastoreItem>
</file>

<file path=customXml/itemProps2.xml><?xml version="1.0" encoding="utf-8"?>
<ds:datastoreItem xmlns:ds="http://schemas.openxmlformats.org/officeDocument/2006/customXml" ds:itemID="{AA9F5EAE-EEF6-4BF9-AB2E-C1608795595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FD2BE3BE-6AFA-4209-97C3-E9FA9B1C6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4EECEB1-775D-4E25-94C5-4A8436D42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83373D05</Template>
  <TotalTime>19</TotalTime>
  <Pages>21</Pages>
  <Words>7518</Words>
  <Characters>46603</Characters>
  <Application>Microsoft Office Word</Application>
  <DocSecurity>0</DocSecurity>
  <Lines>388</Lines>
  <Paragraphs>108</Paragraphs>
  <ScaleCrop>false</ScaleCrop>
  <HeadingPairs>
    <vt:vector size="2" baseType="variant">
      <vt:variant>
        <vt:lpstr>Title</vt:lpstr>
      </vt:variant>
      <vt:variant>
        <vt:i4>1</vt:i4>
      </vt:variant>
    </vt:vector>
  </HeadingPairs>
  <TitlesOfParts>
    <vt:vector size="1" baseType="lpstr">
      <vt:lpstr>Algemene Aanwijzingen</vt:lpstr>
    </vt:vector>
  </TitlesOfParts>
  <Company>Ministerie van Buitenlandse Zaken</Company>
  <LinksUpToDate>false</LinksUpToDate>
  <CharactersWithSpaces>54013</CharactersWithSpaces>
  <SharedDoc>false</SharedDoc>
  <HLinks>
    <vt:vector size="168" baseType="variant">
      <vt:variant>
        <vt:i4>5111875</vt:i4>
      </vt:variant>
      <vt:variant>
        <vt:i4>81</vt:i4>
      </vt:variant>
      <vt:variant>
        <vt:i4>0</vt:i4>
      </vt:variant>
      <vt:variant>
        <vt:i4>5</vt:i4>
      </vt:variant>
      <vt:variant>
        <vt:lpwstr>https://www.spratings.com/documents/20184/86957/Supranationals+Special+Edition+2016/f4676dd6-0822-4e02-a5ce-e8a6dc2e36f4</vt:lpwstr>
      </vt:variant>
      <vt:variant>
        <vt:lpwstr/>
      </vt:variant>
      <vt:variant>
        <vt:i4>6094856</vt:i4>
      </vt:variant>
      <vt:variant>
        <vt:i4>78</vt:i4>
      </vt:variant>
      <vt:variant>
        <vt:i4>0</vt:i4>
      </vt:variant>
      <vt:variant>
        <vt:i4>5</vt:i4>
      </vt:variant>
      <vt:variant>
        <vt:lpwstr>http://documents.worldbank.org/curated/en/675141478919647441/pdf/IAD-FY16-Annual-Report-FINAL-102816-11012016.pdf</vt:lpwstr>
      </vt:variant>
      <vt:variant>
        <vt:lpwstr/>
      </vt:variant>
      <vt:variant>
        <vt:i4>458782</vt:i4>
      </vt:variant>
      <vt:variant>
        <vt:i4>75</vt:i4>
      </vt:variant>
      <vt:variant>
        <vt:i4>0</vt:i4>
      </vt:variant>
      <vt:variant>
        <vt:i4>5</vt:i4>
      </vt:variant>
      <vt:variant>
        <vt:lpwstr>http://ieg.worldbankgroup.org/ieg-search?field_report_type_tags_1=287&amp;search_api_fulltext=&amp;field_topic=All&amp;field_report_type_tags=All&amp;type_1[0]=evaluation&amp;type_1[1]=reports&amp;content_type_1=evaluation-reports&amp;field_year=&amp;field_country=All&amp;field_sub_category=</vt:lpwstr>
      </vt:variant>
      <vt:variant>
        <vt:lpwstr/>
      </vt:variant>
      <vt:variant>
        <vt:i4>2752620</vt:i4>
      </vt:variant>
      <vt:variant>
        <vt:i4>72</vt:i4>
      </vt:variant>
      <vt:variant>
        <vt:i4>0</vt:i4>
      </vt:variant>
      <vt:variant>
        <vt:i4>5</vt:i4>
      </vt:variant>
      <vt:variant>
        <vt:lpwstr>https://ieg.worldbankgroup.org/evaluations/external-review-independent-evaluation-group</vt:lpwstr>
      </vt:variant>
      <vt:variant>
        <vt:lpwstr/>
      </vt:variant>
      <vt:variant>
        <vt:i4>131089</vt:i4>
      </vt:variant>
      <vt:variant>
        <vt:i4>69</vt:i4>
      </vt:variant>
      <vt:variant>
        <vt:i4>0</vt:i4>
      </vt:variant>
      <vt:variant>
        <vt:i4>5</vt:i4>
      </vt:variant>
      <vt:variant>
        <vt:lpwstr>http://www.mopanonline.org/assessments/worldbank2015-16/index.htm</vt:lpwstr>
      </vt:variant>
      <vt:variant>
        <vt:lpwstr/>
      </vt:variant>
      <vt:variant>
        <vt:i4>6160448</vt:i4>
      </vt:variant>
      <vt:variant>
        <vt:i4>66</vt:i4>
      </vt:variant>
      <vt:variant>
        <vt:i4>0</vt:i4>
      </vt:variant>
      <vt:variant>
        <vt:i4>5</vt:i4>
      </vt:variant>
      <vt:variant>
        <vt:lpwstr>https://ieg.worldbankgroup.org/evaluations/ar2016</vt:lpwstr>
      </vt:variant>
      <vt:variant>
        <vt:lpwstr/>
      </vt:variant>
      <vt:variant>
        <vt:i4>3801149</vt:i4>
      </vt:variant>
      <vt:variant>
        <vt:i4>63</vt:i4>
      </vt:variant>
      <vt:variant>
        <vt:i4>0</vt:i4>
      </vt:variant>
      <vt:variant>
        <vt:i4>5</vt:i4>
      </vt:variant>
      <vt:variant>
        <vt:lpwstr>http://ieg.worldbankgroup.org/</vt:lpwstr>
      </vt:variant>
      <vt:variant>
        <vt:lpwstr/>
      </vt:variant>
      <vt:variant>
        <vt:i4>6160475</vt:i4>
      </vt:variant>
      <vt:variant>
        <vt:i4>60</vt:i4>
      </vt:variant>
      <vt:variant>
        <vt:i4>0</vt:i4>
      </vt:variant>
      <vt:variant>
        <vt:i4>5</vt:i4>
      </vt:variant>
      <vt:variant>
        <vt:lpwstr>http://ida.worldbank.org/results</vt:lpwstr>
      </vt:variant>
      <vt:variant>
        <vt:lpwstr/>
      </vt:variant>
      <vt:variant>
        <vt:i4>4718680</vt:i4>
      </vt:variant>
      <vt:variant>
        <vt:i4>57</vt:i4>
      </vt:variant>
      <vt:variant>
        <vt:i4>0</vt:i4>
      </vt:variant>
      <vt:variant>
        <vt:i4>5</vt:i4>
      </vt:variant>
      <vt:variant>
        <vt:lpwstr>http://scorecard.worldbankgroup.org/</vt:lpwstr>
      </vt:variant>
      <vt:variant>
        <vt:lpwstr/>
      </vt:variant>
      <vt:variant>
        <vt:i4>4128820</vt:i4>
      </vt:variant>
      <vt:variant>
        <vt:i4>54</vt:i4>
      </vt:variant>
      <vt:variant>
        <vt:i4>0</vt:i4>
      </vt:variant>
      <vt:variant>
        <vt:i4>5</vt:i4>
      </vt:variant>
      <vt:variant>
        <vt:lpwstr>http://blogs.worldbank.org/opendata/opendata/category/tags/iati</vt:lpwstr>
      </vt:variant>
      <vt:variant>
        <vt:lpwstr/>
      </vt:variant>
      <vt:variant>
        <vt:i4>393223</vt:i4>
      </vt:variant>
      <vt:variant>
        <vt:i4>51</vt:i4>
      </vt:variant>
      <vt:variant>
        <vt:i4>0</vt:i4>
      </vt:variant>
      <vt:variant>
        <vt:i4>5</vt:i4>
      </vt:variant>
      <vt:variant>
        <vt:lpwstr>http://ati.publishwhatyoufund.org/index-2016/results</vt:lpwstr>
      </vt:variant>
      <vt:variant>
        <vt:lpwstr/>
      </vt:variant>
      <vt:variant>
        <vt:i4>720930</vt:i4>
      </vt:variant>
      <vt:variant>
        <vt:i4>48</vt:i4>
      </vt:variant>
      <vt:variant>
        <vt:i4>0</vt:i4>
      </vt:variant>
      <vt:variant>
        <vt:i4>5</vt:i4>
      </vt:variant>
      <vt:variant>
        <vt:lpwstr>https://www.gov.uk/government/uploads/system/uploads/attachment_data/file/573509/World-Bank-Review.pdf</vt:lpwstr>
      </vt:variant>
      <vt:variant>
        <vt:lpwstr/>
      </vt:variant>
      <vt:variant>
        <vt:i4>5177359</vt:i4>
      </vt:variant>
      <vt:variant>
        <vt:i4>45</vt:i4>
      </vt:variant>
      <vt:variant>
        <vt:i4>0</vt:i4>
      </vt:variant>
      <vt:variant>
        <vt:i4>5</vt:i4>
      </vt:variant>
      <vt:variant>
        <vt:lpwstr>http://documents.worldbank.org/curated/en/836081467999089075/Access-to-information-annual-report-FY-2015-and-five-year-retrospective</vt:lpwstr>
      </vt:variant>
      <vt:variant>
        <vt:lpwstr/>
      </vt:variant>
      <vt:variant>
        <vt:i4>2097250</vt:i4>
      </vt:variant>
      <vt:variant>
        <vt:i4>42</vt:i4>
      </vt:variant>
      <vt:variant>
        <vt:i4>0</vt:i4>
      </vt:variant>
      <vt:variant>
        <vt:i4>5</vt:i4>
      </vt:variant>
      <vt:variant>
        <vt:lpwstr>https://www.somo.nl/nl/glass-half-full</vt:lpwstr>
      </vt:variant>
      <vt:variant>
        <vt:lpwstr/>
      </vt:variant>
      <vt:variant>
        <vt:i4>393237</vt:i4>
      </vt:variant>
      <vt:variant>
        <vt:i4>39</vt:i4>
      </vt:variant>
      <vt:variant>
        <vt:i4>0</vt:i4>
      </vt:variant>
      <vt:variant>
        <vt:i4>5</vt:i4>
      </vt:variant>
      <vt:variant>
        <vt:lpwstr>http://consultations.worldbank.org/Data/hub/files/consultation-template/review-and-update-world-bank-safeguard-policies/en/materials/the_esf_clean_final_for_public_disclosure_post_board_august_4.pdf</vt:lpwstr>
      </vt:variant>
      <vt:variant>
        <vt:lpwstr/>
      </vt:variant>
      <vt:variant>
        <vt:i4>5832788</vt:i4>
      </vt:variant>
      <vt:variant>
        <vt:i4>36</vt:i4>
      </vt:variant>
      <vt:variant>
        <vt:i4>0</vt:i4>
      </vt:variant>
      <vt:variant>
        <vt:i4>5</vt:i4>
      </vt:variant>
      <vt:variant>
        <vt:lpwstr>http://ida.worldbank.org/about/contributor-countries</vt:lpwstr>
      </vt:variant>
      <vt:variant>
        <vt:lpwstr/>
      </vt:variant>
      <vt:variant>
        <vt:i4>4718606</vt:i4>
      </vt:variant>
      <vt:variant>
        <vt:i4>33</vt:i4>
      </vt:variant>
      <vt:variant>
        <vt:i4>0</vt:i4>
      </vt:variant>
      <vt:variant>
        <vt:i4>5</vt:i4>
      </vt:variant>
      <vt:variant>
        <vt:lpwstr>http://www.worldbank.org/en/about/leadership/votingpowers</vt:lpwstr>
      </vt:variant>
      <vt:variant>
        <vt:lpwstr/>
      </vt:variant>
      <vt:variant>
        <vt:i4>4718606</vt:i4>
      </vt:variant>
      <vt:variant>
        <vt:i4>30</vt:i4>
      </vt:variant>
      <vt:variant>
        <vt:i4>0</vt:i4>
      </vt:variant>
      <vt:variant>
        <vt:i4>5</vt:i4>
      </vt:variant>
      <vt:variant>
        <vt:lpwstr>http://www.worldbank.org/en/about/leadership/votingpowers</vt:lpwstr>
      </vt:variant>
      <vt:variant>
        <vt:lpwstr/>
      </vt:variant>
      <vt:variant>
        <vt:i4>6815775</vt:i4>
      </vt:variant>
      <vt:variant>
        <vt:i4>27</vt:i4>
      </vt:variant>
      <vt:variant>
        <vt:i4>0</vt:i4>
      </vt:variant>
      <vt:variant>
        <vt:i4>5</vt:i4>
      </vt:variant>
      <vt:variant>
        <vt:lpwstr>http://treasury.worldbank.org/cmd/htm/financial_shareholder.html</vt:lpwstr>
      </vt:variant>
      <vt:variant>
        <vt:lpwstr/>
      </vt:variant>
      <vt:variant>
        <vt:i4>720914</vt:i4>
      </vt:variant>
      <vt:variant>
        <vt:i4>24</vt:i4>
      </vt:variant>
      <vt:variant>
        <vt:i4>0</vt:i4>
      </vt:variant>
      <vt:variant>
        <vt:i4>5</vt:i4>
      </vt:variant>
      <vt:variant>
        <vt:lpwstr>https://openknowledge.worldbank.org/bitstream/handle/10986/24985/210852v2.pdf</vt:lpwstr>
      </vt:variant>
      <vt:variant>
        <vt:lpwstr/>
      </vt:variant>
      <vt:variant>
        <vt:i4>1507344</vt:i4>
      </vt:variant>
      <vt:variant>
        <vt:i4>21</vt:i4>
      </vt:variant>
      <vt:variant>
        <vt:i4>0</vt:i4>
      </vt:variant>
      <vt:variant>
        <vt:i4>5</vt:i4>
      </vt:variant>
      <vt:variant>
        <vt:lpwstr>http://documents.worldbank.org/curated/en/820851467992505410/World-Bank-Group-gender-strategy-FY16-23-gender-equality-poverty-reduction-and-inclusive-growth</vt:lpwstr>
      </vt:variant>
      <vt:variant>
        <vt:lpwstr/>
      </vt:variant>
      <vt:variant>
        <vt:i4>3539069</vt:i4>
      </vt:variant>
      <vt:variant>
        <vt:i4>18</vt:i4>
      </vt:variant>
      <vt:variant>
        <vt:i4>0</vt:i4>
      </vt:variant>
      <vt:variant>
        <vt:i4>5</vt:i4>
      </vt:variant>
      <vt:variant>
        <vt:lpwstr>https://ieg.worldbankgroup.org/evaluations/program-for-results</vt:lpwstr>
      </vt:variant>
      <vt:variant>
        <vt:lpwstr/>
      </vt:variant>
      <vt:variant>
        <vt:i4>3670071</vt:i4>
      </vt:variant>
      <vt:variant>
        <vt:i4>15</vt:i4>
      </vt:variant>
      <vt:variant>
        <vt:i4>0</vt:i4>
      </vt:variant>
      <vt:variant>
        <vt:i4>5</vt:i4>
      </vt:variant>
      <vt:variant>
        <vt:lpwstr>http://ieg.worldbankgroup.org/evaluations/results-and-performance-2015</vt:lpwstr>
      </vt:variant>
      <vt:variant>
        <vt:lpwstr/>
      </vt:variant>
      <vt:variant>
        <vt:i4>6488105</vt:i4>
      </vt:variant>
      <vt:variant>
        <vt:i4>12</vt:i4>
      </vt:variant>
      <vt:variant>
        <vt:i4>0</vt:i4>
      </vt:variant>
      <vt:variant>
        <vt:i4>5</vt:i4>
      </vt:variant>
      <vt:variant>
        <vt:lpwstr>https://ieg.worldbankgroup.org/evaluations/fragility-conflict-violence</vt:lpwstr>
      </vt:variant>
      <vt:variant>
        <vt:lpwstr/>
      </vt:variant>
      <vt:variant>
        <vt:i4>6160448</vt:i4>
      </vt:variant>
      <vt:variant>
        <vt:i4>9</vt:i4>
      </vt:variant>
      <vt:variant>
        <vt:i4>0</vt:i4>
      </vt:variant>
      <vt:variant>
        <vt:i4>5</vt:i4>
      </vt:variant>
      <vt:variant>
        <vt:lpwstr>https://ieg.worldbankgroup.org/evaluations/ar2016</vt:lpwstr>
      </vt:variant>
      <vt:variant>
        <vt:lpwstr/>
      </vt:variant>
      <vt:variant>
        <vt:i4>3932205</vt:i4>
      </vt:variant>
      <vt:variant>
        <vt:i4>6</vt:i4>
      </vt:variant>
      <vt:variant>
        <vt:i4>0</vt:i4>
      </vt:variant>
      <vt:variant>
        <vt:i4>5</vt:i4>
      </vt:variant>
      <vt:variant>
        <vt:lpwstr>https://ieg.worldbankgroup.org/evaluations</vt:lpwstr>
      </vt:variant>
      <vt:variant>
        <vt:lpwstr/>
      </vt:variant>
      <vt:variant>
        <vt:i4>3997809</vt:i4>
      </vt:variant>
      <vt:variant>
        <vt:i4>3</vt:i4>
      </vt:variant>
      <vt:variant>
        <vt:i4>0</vt:i4>
      </vt:variant>
      <vt:variant>
        <vt:i4>5</vt:i4>
      </vt:variant>
      <vt:variant>
        <vt:lpwstr>http://www.worldbank.org/en/about/annual-report</vt:lpwstr>
      </vt:variant>
      <vt:variant>
        <vt:lpwstr/>
      </vt:variant>
      <vt:variant>
        <vt:i4>4325488</vt:i4>
      </vt:variant>
      <vt:variant>
        <vt:i4>0</vt:i4>
      </vt:variant>
      <vt:variant>
        <vt:i4>0</vt:i4>
      </vt:variant>
      <vt:variant>
        <vt:i4>5</vt:i4>
      </vt:variant>
      <vt:variant>
        <vt:lpwstr>https://openknowledge.worldbank.org/bitstream/handle/10986/16095/32824_ebook.pdf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Aanwijzingen</dc:title>
  <dc:subject/>
  <dc:creator>Han Huiskamp</dc:creator>
  <cp:keywords/>
  <dc:description/>
  <cp:lastModifiedBy>Hengelaar, Dieke</cp:lastModifiedBy>
  <cp:revision>7</cp:revision>
  <cp:lastPrinted>2017-06-08T08:54:00Z</cp:lastPrinted>
  <dcterms:created xsi:type="dcterms:W3CDTF">2017-08-03T14:55:00Z</dcterms:created>
  <dcterms:modified xsi:type="dcterms:W3CDTF">2017-08-25T13:57:00Z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0x01010088D00FE1C956BA45BF0DCD7E4E5F6184</vt:lpwstr>
  </property>
</Properties>
</file>